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Times New Roman"/>
          <w:b/>
          <w:bCs/>
          <w:sz w:val="44"/>
          <w:szCs w:val="44"/>
          <w:lang w:eastAsia="zh-CN"/>
        </w:rPr>
      </w:pPr>
      <w:r>
        <w:rPr>
          <w:rFonts w:hint="eastAsia" w:ascii="宋体" w:hAnsi="宋体" w:eastAsia="宋体" w:cs="宋体"/>
          <w:b/>
          <w:bCs/>
          <w:sz w:val="44"/>
          <w:szCs w:val="44"/>
          <w:lang w:eastAsia="zh-CN"/>
        </w:rPr>
        <w:t>桃江县住房保障服务中心</w:t>
      </w:r>
    </w:p>
    <w:p>
      <w:pPr>
        <w:spacing w:line="560" w:lineRule="exact"/>
        <w:jc w:val="center"/>
        <w:rPr>
          <w:rFonts w:ascii="宋体" w:hAnsi="宋体" w:eastAsia="宋体" w:cs="Times New Roman"/>
          <w:b/>
          <w:bCs/>
          <w:sz w:val="44"/>
          <w:szCs w:val="44"/>
        </w:rPr>
      </w:pPr>
      <w:r>
        <w:rPr>
          <w:rFonts w:ascii="宋体" w:hAnsi="宋体" w:eastAsia="宋体" w:cs="宋体"/>
          <w:b/>
          <w:bCs/>
          <w:sz w:val="44"/>
          <w:szCs w:val="44"/>
          <w:lang w:eastAsia="zh-CN"/>
        </w:rPr>
        <w:t>202</w:t>
      </w:r>
      <w:r>
        <w:rPr>
          <w:rFonts w:hint="eastAsia" w:ascii="宋体" w:hAnsi="宋体" w:eastAsia="宋体" w:cs="宋体"/>
          <w:b/>
          <w:bCs/>
          <w:sz w:val="44"/>
          <w:szCs w:val="44"/>
          <w:lang w:val="en-US" w:eastAsia="zh-CN"/>
        </w:rPr>
        <w:t>1</w:t>
      </w:r>
      <w:r>
        <w:rPr>
          <w:rFonts w:hint="eastAsia" w:ascii="宋体" w:hAnsi="宋体" w:eastAsia="宋体" w:cs="宋体"/>
          <w:b/>
          <w:bCs/>
          <w:sz w:val="44"/>
          <w:szCs w:val="44"/>
        </w:rPr>
        <w:t>年度部门整体支出绩效评价报告</w:t>
      </w:r>
    </w:p>
    <w:p>
      <w:pPr>
        <w:spacing w:line="560" w:lineRule="exact"/>
        <w:ind w:firstLine="739" w:firstLineChars="230"/>
        <w:rPr>
          <w:rFonts w:ascii="黑体" w:hAnsi="黑体" w:eastAsia="黑体" w:cs="Times New Roman"/>
          <w:b/>
          <w:bCs/>
          <w:sz w:val="32"/>
          <w:szCs w:val="32"/>
        </w:rPr>
      </w:pPr>
      <w:r>
        <w:rPr>
          <w:rFonts w:hint="eastAsia" w:ascii="黑体" w:hAnsi="黑体" w:eastAsia="黑体" w:cs="黑体"/>
          <w:b/>
          <w:bCs/>
          <w:sz w:val="32"/>
          <w:szCs w:val="32"/>
        </w:rPr>
        <w:t>一、部门概况</w:t>
      </w:r>
    </w:p>
    <w:p>
      <w:pPr>
        <w:spacing w:line="560" w:lineRule="exact"/>
        <w:ind w:firstLine="739" w:firstLineChars="231"/>
        <w:rPr>
          <w:rFonts w:ascii="仿宋_GB2312" w:eastAsia="仿宋_GB2312" w:cs="Times New Roman"/>
          <w:sz w:val="32"/>
          <w:szCs w:val="32"/>
        </w:rPr>
      </w:pPr>
      <w:r>
        <w:rPr>
          <w:rFonts w:hint="eastAsia" w:ascii="仿宋_GB2312" w:eastAsia="仿宋_GB2312" w:cs="仿宋_GB2312"/>
          <w:sz w:val="32"/>
          <w:szCs w:val="32"/>
        </w:rPr>
        <w:t>（一）部门基本情况</w:t>
      </w:r>
    </w:p>
    <w:p>
      <w:pPr>
        <w:spacing w:line="560" w:lineRule="exact"/>
        <w:ind w:firstLine="739" w:firstLineChars="231"/>
        <w:rPr>
          <w:rFonts w:hint="default" w:ascii="仿宋_GB2312" w:eastAsia="仿宋_GB2312" w:cs="Times New Roman"/>
          <w:sz w:val="32"/>
          <w:szCs w:val="32"/>
          <w:highlight w:val="yellow"/>
          <w:lang w:val="en-US" w:eastAsia="zh-CN"/>
        </w:rPr>
      </w:pPr>
      <w:r>
        <w:rPr>
          <w:rFonts w:ascii="仿宋_GB2312" w:eastAsia="仿宋_GB2312" w:cs="仿宋_GB2312"/>
          <w:sz w:val="32"/>
          <w:szCs w:val="32"/>
        </w:rPr>
        <w:t>1.</w:t>
      </w:r>
      <w:r>
        <w:rPr>
          <w:rFonts w:hint="eastAsia" w:ascii="仿宋_GB2312" w:eastAsia="仿宋_GB2312" w:cs="仿宋_GB2312"/>
          <w:sz w:val="32"/>
          <w:szCs w:val="32"/>
        </w:rPr>
        <w:t>机构设置及人员状况。县住房保障服务中心为县住房和城乡建设局所属正科级公益一类事业单位。</w:t>
      </w:r>
      <w:r>
        <w:rPr>
          <w:rFonts w:hint="eastAsia" w:ascii="仿宋_GB2312" w:eastAsia="仿宋_GB2312" w:cs="仿宋_GB2312"/>
          <w:sz w:val="32"/>
          <w:szCs w:val="32"/>
          <w:lang w:eastAsia="zh-CN"/>
        </w:rPr>
        <w:t>内设</w:t>
      </w:r>
      <w:r>
        <w:rPr>
          <w:rFonts w:hint="eastAsia" w:ascii="仿宋_GB2312" w:eastAsia="仿宋_GB2312" w:cs="仿宋_GB2312"/>
          <w:sz w:val="32"/>
          <w:szCs w:val="32"/>
        </w:rPr>
        <w:t>办公室</w:t>
      </w:r>
      <w:r>
        <w:rPr>
          <w:rFonts w:hint="eastAsia" w:ascii="仿宋_GB2312" w:eastAsia="仿宋_GB2312" w:cs="仿宋_GB2312"/>
          <w:sz w:val="32"/>
          <w:szCs w:val="32"/>
          <w:lang w:eastAsia="zh-CN"/>
        </w:rPr>
        <w:t>、</w:t>
      </w:r>
      <w:r>
        <w:rPr>
          <w:rFonts w:hint="eastAsia" w:ascii="仿宋_GB2312" w:eastAsia="仿宋_GB2312" w:cs="仿宋_GB2312"/>
          <w:sz w:val="32"/>
          <w:szCs w:val="32"/>
        </w:rPr>
        <w:t>人事股</w:t>
      </w:r>
      <w:r>
        <w:rPr>
          <w:rFonts w:hint="eastAsia" w:ascii="仿宋_GB2312" w:eastAsia="仿宋_GB2312" w:cs="仿宋_GB2312"/>
          <w:sz w:val="32"/>
          <w:szCs w:val="32"/>
          <w:lang w:eastAsia="zh-CN"/>
        </w:rPr>
        <w:t>、</w:t>
      </w:r>
      <w:r>
        <w:rPr>
          <w:rFonts w:hint="eastAsia" w:ascii="仿宋_GB2312" w:eastAsia="仿宋_GB2312" w:cs="仿宋_GB2312"/>
          <w:sz w:val="32"/>
          <w:szCs w:val="32"/>
        </w:rPr>
        <w:t>财务股</w:t>
      </w:r>
      <w:r>
        <w:rPr>
          <w:rFonts w:hint="eastAsia" w:ascii="仿宋_GB2312" w:eastAsia="仿宋_GB2312" w:cs="仿宋_GB2312"/>
          <w:sz w:val="32"/>
          <w:szCs w:val="32"/>
          <w:lang w:eastAsia="zh-CN"/>
        </w:rPr>
        <w:t>、</w:t>
      </w:r>
      <w:r>
        <w:rPr>
          <w:rFonts w:hint="eastAsia" w:ascii="仿宋_GB2312" w:eastAsia="仿宋_GB2312" w:cs="仿宋_GB2312"/>
          <w:sz w:val="32"/>
          <w:szCs w:val="32"/>
        </w:rPr>
        <w:t>法制股</w:t>
      </w:r>
      <w:r>
        <w:rPr>
          <w:rFonts w:hint="eastAsia" w:ascii="仿宋_GB2312" w:eastAsia="仿宋_GB2312" w:cs="仿宋_GB2312"/>
          <w:sz w:val="32"/>
          <w:szCs w:val="32"/>
          <w:lang w:eastAsia="zh-CN"/>
        </w:rPr>
        <w:t>、</w:t>
      </w:r>
      <w:r>
        <w:rPr>
          <w:rFonts w:hint="eastAsia" w:ascii="仿宋_GB2312" w:eastAsia="仿宋_GB2312" w:cs="仿宋_GB2312"/>
          <w:sz w:val="32"/>
          <w:szCs w:val="32"/>
        </w:rPr>
        <w:t>项目建设股</w:t>
      </w:r>
      <w:r>
        <w:rPr>
          <w:rFonts w:hint="eastAsia" w:ascii="仿宋_GB2312" w:eastAsia="仿宋_GB2312" w:cs="仿宋_GB2312"/>
          <w:sz w:val="32"/>
          <w:szCs w:val="32"/>
          <w:lang w:eastAsia="zh-CN"/>
        </w:rPr>
        <w:t>、</w:t>
      </w:r>
      <w:r>
        <w:rPr>
          <w:rFonts w:hint="eastAsia" w:ascii="仿宋_GB2312" w:eastAsia="仿宋_GB2312" w:cs="仿宋_GB2312"/>
          <w:sz w:val="32"/>
          <w:szCs w:val="32"/>
        </w:rPr>
        <w:t>住房租赁股</w:t>
      </w:r>
      <w:r>
        <w:rPr>
          <w:rFonts w:hint="eastAsia" w:ascii="仿宋_GB2312" w:eastAsia="仿宋_GB2312" w:cs="仿宋_GB2312"/>
          <w:sz w:val="32"/>
          <w:szCs w:val="32"/>
          <w:lang w:eastAsia="zh-CN"/>
        </w:rPr>
        <w:t>、</w:t>
      </w:r>
      <w:r>
        <w:rPr>
          <w:rFonts w:hint="eastAsia" w:ascii="仿宋_GB2312" w:eastAsia="仿宋_GB2312" w:cs="仿宋_GB2312"/>
          <w:sz w:val="32"/>
          <w:szCs w:val="32"/>
        </w:rPr>
        <w:t>租赁信息股</w:t>
      </w:r>
      <w:r>
        <w:rPr>
          <w:rFonts w:hint="eastAsia" w:ascii="仿宋_GB2312" w:eastAsia="仿宋_GB2312" w:cs="仿宋_GB2312"/>
          <w:sz w:val="32"/>
          <w:szCs w:val="32"/>
          <w:lang w:eastAsia="zh-CN"/>
        </w:rPr>
        <w:t>、</w:t>
      </w:r>
      <w:r>
        <w:rPr>
          <w:rFonts w:hint="eastAsia" w:ascii="仿宋_GB2312" w:eastAsia="仿宋_GB2312" w:cs="仿宋_GB2312"/>
          <w:sz w:val="32"/>
          <w:szCs w:val="32"/>
        </w:rPr>
        <w:t>运营服务股</w:t>
      </w:r>
      <w:r>
        <w:rPr>
          <w:rFonts w:hint="eastAsia" w:ascii="仿宋_GB2312" w:eastAsia="仿宋_GB2312" w:cs="仿宋_GB2312"/>
          <w:sz w:val="32"/>
          <w:szCs w:val="32"/>
          <w:lang w:eastAsia="zh-CN"/>
        </w:rPr>
        <w:t>、</w:t>
      </w:r>
      <w:r>
        <w:rPr>
          <w:rFonts w:hint="eastAsia" w:ascii="仿宋_GB2312" w:eastAsia="仿宋_GB2312" w:cs="仿宋_GB2312"/>
          <w:sz w:val="32"/>
          <w:szCs w:val="32"/>
        </w:rPr>
        <w:t>公房管理股</w:t>
      </w:r>
      <w:r>
        <w:rPr>
          <w:rFonts w:hint="eastAsia" w:ascii="仿宋_GB2312" w:eastAsia="仿宋_GB2312" w:cs="仿宋_GB2312"/>
          <w:sz w:val="32"/>
          <w:szCs w:val="32"/>
          <w:lang w:val="en-US" w:eastAsia="zh-CN"/>
        </w:rPr>
        <w:t>9</w:t>
      </w:r>
      <w:r>
        <w:rPr>
          <w:rFonts w:hint="eastAsia" w:ascii="仿宋_GB2312" w:eastAsia="仿宋_GB2312" w:cs="仿宋_GB2312"/>
          <w:sz w:val="32"/>
          <w:szCs w:val="32"/>
          <w:lang w:eastAsia="zh-CN"/>
        </w:rPr>
        <w:t>个股室</w:t>
      </w:r>
      <w:r>
        <w:rPr>
          <w:rFonts w:hint="eastAsia" w:ascii="仿宋_GB2312" w:eastAsia="仿宋_GB2312" w:cs="仿宋_GB2312"/>
          <w:sz w:val="32"/>
          <w:szCs w:val="32"/>
          <w:lang w:val="en-US" w:eastAsia="zh-CN"/>
        </w:rPr>
        <w:t>,二级机构4</w:t>
      </w:r>
      <w:r>
        <w:rPr>
          <w:rFonts w:hint="eastAsia" w:ascii="仿宋_GB2312" w:eastAsia="仿宋_GB2312" w:cs="仿宋_GB2312"/>
          <w:sz w:val="32"/>
          <w:szCs w:val="32"/>
        </w:rPr>
        <w:t>个</w:t>
      </w:r>
      <w:r>
        <w:rPr>
          <w:rFonts w:hint="eastAsia" w:ascii="仿宋_GB2312" w:eastAsia="仿宋_GB2312" w:cs="仿宋_GB2312"/>
          <w:sz w:val="32"/>
          <w:szCs w:val="32"/>
          <w:lang w:eastAsia="zh-CN"/>
        </w:rPr>
        <w:t>，</w:t>
      </w:r>
      <w:r>
        <w:rPr>
          <w:rFonts w:hint="eastAsia" w:ascii="仿宋_GB2312" w:eastAsia="仿宋_GB2312" w:cs="仿宋_GB2312"/>
          <w:sz w:val="32"/>
          <w:szCs w:val="32"/>
        </w:rPr>
        <w:t>包括</w:t>
      </w:r>
      <w:r>
        <w:rPr>
          <w:rFonts w:hint="eastAsia" w:ascii="仿宋_GB2312" w:eastAsia="仿宋_GB2312" w:cs="仿宋_GB2312"/>
          <w:sz w:val="32"/>
          <w:szCs w:val="32"/>
          <w:lang w:eastAsia="zh-CN"/>
        </w:rPr>
        <w:t>桃花江分中心、马迹塘分中心、三堂街分中心、灰山港分中心。全中心编制</w:t>
      </w:r>
      <w:r>
        <w:rPr>
          <w:rFonts w:hint="eastAsia" w:ascii="仿宋_GB2312" w:eastAsia="仿宋_GB2312" w:cs="仿宋_GB2312"/>
          <w:sz w:val="32"/>
          <w:szCs w:val="32"/>
          <w:lang w:val="en-US" w:eastAsia="zh-CN"/>
        </w:rPr>
        <w:t>115个，实有人数107人，退休人员82人。</w:t>
      </w:r>
    </w:p>
    <w:p>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lang w:eastAsia="zh-CN"/>
        </w:rPr>
        <w:t>主要职能</w:t>
      </w:r>
      <w:r>
        <w:rPr>
          <w:rFonts w:hint="eastAsia" w:ascii="仿宋_GB2312" w:eastAsia="仿宋_GB2312" w:cs="仿宋_GB2312"/>
          <w:sz w:val="32"/>
          <w:szCs w:val="32"/>
        </w:rPr>
        <w:t>。</w:t>
      </w: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负责拟定全县保障性住房、城市棚户区（含城中村）改造及旧城改造等中期规划和年度计划。</w:t>
      </w:r>
    </w:p>
    <w:p>
      <w:pPr>
        <w:spacing w:line="560" w:lineRule="exact"/>
        <w:rPr>
          <w:rFonts w:ascii="仿宋_GB2312" w:eastAsia="仿宋_GB2312" w:cs="Times New Roman"/>
          <w:sz w:val="32"/>
          <w:szCs w:val="32"/>
        </w:rPr>
      </w:pPr>
      <w:r>
        <w:rPr>
          <w:rFonts w:ascii="仿宋_GB2312" w:eastAsia="仿宋_GB2312" w:cs="仿宋_GB2312"/>
          <w:sz w:val="32"/>
          <w:szCs w:val="32"/>
          <w:lang w:eastAsia="zh-CN"/>
        </w:rPr>
        <w:t xml:space="preserve">   </w:t>
      </w:r>
      <w:r>
        <w:rPr>
          <w:rFonts w:hint="eastAsia" w:ascii="仿宋_GB2312" w:eastAsia="仿宋_GB2312" w:cs="仿宋_GB2312"/>
          <w:sz w:val="32"/>
          <w:szCs w:val="32"/>
        </w:rPr>
        <w:t>负责全县政府投资的公共租赁住房的建设、储备、分配和维护维修等后续运营管理等工作。</w:t>
      </w:r>
    </w:p>
    <w:p>
      <w:pPr>
        <w:spacing w:line="560" w:lineRule="exact"/>
        <w:rPr>
          <w:rFonts w:ascii="仿宋_GB2312" w:eastAsia="仿宋_GB2312" w:cs="Times New Roman"/>
          <w:sz w:val="32"/>
          <w:szCs w:val="32"/>
        </w:rPr>
      </w:pPr>
      <w:r>
        <w:rPr>
          <w:rFonts w:ascii="仿宋_GB2312" w:eastAsia="仿宋_GB2312" w:cs="仿宋_GB2312"/>
          <w:sz w:val="32"/>
          <w:szCs w:val="32"/>
          <w:lang w:eastAsia="zh-CN"/>
        </w:rPr>
        <w:t xml:space="preserve">   </w:t>
      </w:r>
      <w:r>
        <w:rPr>
          <w:rFonts w:hint="eastAsia" w:ascii="仿宋_GB2312" w:eastAsia="仿宋_GB2312" w:cs="仿宋_GB2312"/>
          <w:sz w:val="32"/>
          <w:szCs w:val="32"/>
        </w:rPr>
        <w:t>负责全县公共租赁住房保障对象审核登记、动态管理和住房租赁补贴对象的审核与补贴发放等工作。</w:t>
      </w:r>
    </w:p>
    <w:p>
      <w:pPr>
        <w:spacing w:line="560" w:lineRule="exact"/>
        <w:rPr>
          <w:rFonts w:ascii="仿宋_GB2312" w:eastAsia="仿宋_GB2312" w:cs="Times New Roman"/>
          <w:sz w:val="32"/>
          <w:szCs w:val="32"/>
        </w:rPr>
      </w:pPr>
      <w:r>
        <w:rPr>
          <w:rFonts w:ascii="仿宋_GB2312" w:eastAsia="仿宋_GB2312" w:cs="仿宋_GB2312"/>
          <w:sz w:val="32"/>
          <w:szCs w:val="32"/>
          <w:lang w:eastAsia="zh-CN"/>
        </w:rPr>
        <w:t xml:space="preserve">   </w:t>
      </w:r>
      <w:r>
        <w:rPr>
          <w:rFonts w:hint="eastAsia" w:ascii="仿宋_GB2312" w:eastAsia="仿宋_GB2312" w:cs="仿宋_GB2312"/>
          <w:sz w:val="32"/>
          <w:szCs w:val="32"/>
        </w:rPr>
        <w:t>负责全县公共租赁住房信息平台建设、信息发布，公共租赁住房承租对象档案建立、管理和查阅等工作。</w:t>
      </w:r>
    </w:p>
    <w:p>
      <w:pPr>
        <w:spacing w:line="560" w:lineRule="exact"/>
        <w:rPr>
          <w:rFonts w:ascii="仿宋_GB2312" w:eastAsia="仿宋_GB2312" w:cs="Times New Roman"/>
          <w:sz w:val="32"/>
          <w:szCs w:val="32"/>
        </w:rPr>
      </w:pPr>
      <w:r>
        <w:rPr>
          <w:rFonts w:ascii="仿宋_GB2312" w:eastAsia="仿宋_GB2312" w:cs="仿宋_GB2312"/>
          <w:sz w:val="32"/>
          <w:szCs w:val="32"/>
          <w:lang w:eastAsia="zh-CN"/>
        </w:rPr>
        <w:t xml:space="preserve">   </w:t>
      </w:r>
      <w:r>
        <w:rPr>
          <w:rFonts w:hint="eastAsia" w:ascii="仿宋_GB2312" w:eastAsia="仿宋_GB2312" w:cs="仿宋_GB2312"/>
          <w:sz w:val="32"/>
          <w:szCs w:val="32"/>
        </w:rPr>
        <w:t>负责全县公共租赁住房租金的收取、存储、使用等工作。</w:t>
      </w:r>
    </w:p>
    <w:p>
      <w:pPr>
        <w:spacing w:line="560" w:lineRule="exact"/>
        <w:rPr>
          <w:rFonts w:ascii="仿宋_GB2312" w:eastAsia="仿宋_GB2312" w:cs="Times New Roman"/>
          <w:sz w:val="32"/>
          <w:szCs w:val="32"/>
        </w:rPr>
      </w:pPr>
      <w:r>
        <w:rPr>
          <w:rFonts w:ascii="仿宋_GB2312" w:eastAsia="仿宋_GB2312" w:cs="仿宋_GB2312"/>
          <w:sz w:val="32"/>
          <w:szCs w:val="32"/>
          <w:lang w:eastAsia="zh-CN"/>
        </w:rPr>
        <w:t xml:space="preserve">   </w:t>
      </w:r>
      <w:r>
        <w:rPr>
          <w:rFonts w:hint="eastAsia" w:ascii="仿宋_GB2312" w:eastAsia="仿宋_GB2312" w:cs="仿宋_GB2312"/>
          <w:sz w:val="32"/>
          <w:szCs w:val="32"/>
        </w:rPr>
        <w:t>负责全县国有直管公房的管理、经营、租赁、维护改造等工作。</w:t>
      </w:r>
    </w:p>
    <w:p>
      <w:pPr>
        <w:spacing w:line="560" w:lineRule="exact"/>
        <w:rPr>
          <w:rFonts w:ascii="仿宋_GB2312" w:eastAsia="仿宋_GB2312" w:cs="Times New Roman"/>
          <w:sz w:val="32"/>
          <w:szCs w:val="32"/>
        </w:rPr>
      </w:pPr>
      <w:r>
        <w:rPr>
          <w:rFonts w:ascii="仿宋_GB2312" w:eastAsia="仿宋_GB2312" w:cs="仿宋_GB2312"/>
          <w:sz w:val="32"/>
          <w:szCs w:val="32"/>
          <w:lang w:eastAsia="zh-CN"/>
        </w:rPr>
        <w:t xml:space="preserve">   </w:t>
      </w:r>
      <w:r>
        <w:rPr>
          <w:rFonts w:hint="eastAsia" w:ascii="仿宋_GB2312" w:eastAsia="仿宋_GB2312" w:cs="仿宋_GB2312"/>
          <w:sz w:val="32"/>
          <w:szCs w:val="32"/>
        </w:rPr>
        <w:t>承担县政府下达的城市棚户区（含城中村）改造和旧城改造任务。</w:t>
      </w:r>
    </w:p>
    <w:p>
      <w:pPr>
        <w:spacing w:line="560" w:lineRule="exact"/>
        <w:rPr>
          <w:rFonts w:ascii="仿宋_GB2312" w:eastAsia="仿宋_GB2312" w:cs="Times New Roman"/>
          <w:sz w:val="32"/>
          <w:szCs w:val="32"/>
        </w:rPr>
      </w:pPr>
      <w:r>
        <w:rPr>
          <w:rFonts w:ascii="仿宋_GB2312" w:eastAsia="仿宋_GB2312" w:cs="仿宋_GB2312"/>
          <w:sz w:val="32"/>
          <w:szCs w:val="32"/>
          <w:lang w:eastAsia="zh-CN"/>
        </w:rPr>
        <w:t xml:space="preserve">   </w:t>
      </w:r>
      <w:r>
        <w:rPr>
          <w:rFonts w:hint="eastAsia" w:ascii="仿宋_GB2312" w:eastAsia="仿宋_GB2312" w:cs="仿宋_GB2312"/>
          <w:sz w:val="32"/>
          <w:szCs w:val="32"/>
        </w:rPr>
        <w:t>负责全县政府投资项目国有土地上房屋征收与补偿的组织实施。</w:t>
      </w:r>
    </w:p>
    <w:p>
      <w:pPr>
        <w:spacing w:line="560" w:lineRule="exact"/>
        <w:rPr>
          <w:rFonts w:ascii="仿宋_GB2312" w:eastAsia="仿宋_GB2312" w:cs="Times New Roman"/>
          <w:sz w:val="32"/>
          <w:szCs w:val="32"/>
        </w:rPr>
      </w:pPr>
      <w:r>
        <w:rPr>
          <w:rFonts w:ascii="仿宋_GB2312" w:eastAsia="仿宋_GB2312" w:cs="仿宋_GB2312"/>
          <w:sz w:val="32"/>
          <w:szCs w:val="32"/>
          <w:lang w:eastAsia="zh-CN"/>
        </w:rPr>
        <w:t xml:space="preserve">   </w:t>
      </w:r>
      <w:r>
        <w:rPr>
          <w:rFonts w:hint="eastAsia" w:ascii="仿宋_GB2312" w:eastAsia="仿宋_GB2312" w:cs="仿宋_GB2312"/>
          <w:sz w:val="32"/>
          <w:szCs w:val="32"/>
        </w:rPr>
        <w:t>负责全县城镇房屋租赁管理事务工作。</w:t>
      </w:r>
    </w:p>
    <w:p>
      <w:pPr>
        <w:spacing w:line="560" w:lineRule="exact"/>
        <w:rPr>
          <w:rFonts w:ascii="仿宋_GB2312" w:eastAsia="仿宋_GB2312" w:cs="Times New Roman"/>
          <w:sz w:val="32"/>
          <w:szCs w:val="32"/>
          <w:lang w:eastAsia="zh-CN"/>
        </w:rPr>
      </w:pPr>
      <w:r>
        <w:rPr>
          <w:rFonts w:ascii="仿宋_GB2312" w:eastAsia="仿宋_GB2312" w:cs="仿宋_GB2312"/>
          <w:sz w:val="32"/>
          <w:szCs w:val="32"/>
          <w:lang w:eastAsia="zh-CN"/>
        </w:rPr>
        <w:t xml:space="preserve">   </w:t>
      </w:r>
      <w:r>
        <w:rPr>
          <w:rFonts w:hint="eastAsia" w:ascii="仿宋_GB2312" w:eastAsia="仿宋_GB2312" w:cs="仿宋_GB2312"/>
          <w:sz w:val="32"/>
          <w:szCs w:val="32"/>
        </w:rPr>
        <w:t>完成县委、县政府及县住房和城乡建设局交办的其他任务。</w:t>
      </w:r>
    </w:p>
    <w:p>
      <w:pPr>
        <w:spacing w:line="560" w:lineRule="exact"/>
        <w:rPr>
          <w:rFonts w:ascii="仿宋_GB2312" w:eastAsia="仿宋_GB2312" w:cs="Times New Roman"/>
          <w:sz w:val="32"/>
          <w:szCs w:val="32"/>
        </w:rPr>
      </w:pPr>
      <w:r>
        <w:rPr>
          <w:rFonts w:ascii="仿宋_GB2312" w:eastAsia="仿宋_GB2312" w:cs="仿宋_GB2312"/>
          <w:sz w:val="32"/>
          <w:szCs w:val="32"/>
        </w:rPr>
        <w:t xml:space="preserve">3. </w:t>
      </w:r>
      <w:r>
        <w:rPr>
          <w:rFonts w:ascii="仿宋_GB2312" w:eastAsia="仿宋_GB2312" w:cs="仿宋_GB2312"/>
          <w:sz w:val="32"/>
          <w:szCs w:val="32"/>
          <w:lang w:eastAsia="zh-CN"/>
        </w:rPr>
        <w:t>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年重点工作。</w:t>
      </w:r>
    </w:p>
    <w:p>
      <w:pPr>
        <w:spacing w:line="560" w:lineRule="exact"/>
        <w:rPr>
          <w:rFonts w:ascii="仿宋_GB2312" w:eastAsia="仿宋_GB2312" w:cs="Times New Roman"/>
          <w:sz w:val="32"/>
          <w:szCs w:val="32"/>
          <w:lang w:eastAsia="zh-CN"/>
        </w:rPr>
      </w:pPr>
      <w:r>
        <w:rPr>
          <w:rFonts w:hint="eastAsia" w:ascii="仿宋_GB2312" w:eastAsia="仿宋_GB2312" w:cs="仿宋_GB2312"/>
          <w:sz w:val="32"/>
          <w:szCs w:val="32"/>
          <w:lang w:eastAsia="zh-CN"/>
        </w:rPr>
        <w:t>完成</w:t>
      </w:r>
      <w:r>
        <w:rPr>
          <w:rFonts w:hint="eastAsia" w:ascii="仿宋_GB2312" w:eastAsia="仿宋_GB2312" w:cs="仿宋_GB2312"/>
          <w:sz w:val="32"/>
          <w:szCs w:val="32"/>
        </w:rPr>
        <w:t>棚户区改造</w:t>
      </w:r>
      <w:r>
        <w:rPr>
          <w:rFonts w:hint="eastAsia" w:ascii="仿宋_GB2312" w:eastAsia="仿宋_GB2312" w:cs="仿宋_GB2312"/>
          <w:sz w:val="32"/>
          <w:szCs w:val="32"/>
          <w:lang w:eastAsia="zh-CN"/>
        </w:rPr>
        <w:t>、租赁住房补贴发放任务、</w:t>
      </w:r>
      <w:r>
        <w:rPr>
          <w:rFonts w:hint="eastAsia" w:ascii="仿宋_GB2312" w:eastAsia="仿宋_GB2312" w:cs="仿宋_GB2312"/>
          <w:sz w:val="32"/>
          <w:szCs w:val="32"/>
        </w:rPr>
        <w:t>规范公租房运营与后续管理</w:t>
      </w:r>
      <w:r>
        <w:rPr>
          <w:rFonts w:hint="eastAsia" w:ascii="仿宋_GB2312" w:eastAsia="仿宋_GB2312" w:cs="仿宋_GB2312"/>
          <w:sz w:val="32"/>
          <w:szCs w:val="32"/>
          <w:lang w:eastAsia="zh-CN"/>
        </w:rPr>
        <w:t>。</w:t>
      </w:r>
    </w:p>
    <w:p>
      <w:pPr>
        <w:spacing w:line="560" w:lineRule="exact"/>
        <w:rPr>
          <w:rFonts w:ascii="仿宋_GB2312" w:eastAsia="仿宋_GB2312" w:cs="Times New Roman"/>
          <w:sz w:val="32"/>
          <w:szCs w:val="32"/>
        </w:rPr>
      </w:pPr>
      <w:r>
        <w:rPr>
          <w:rFonts w:hint="eastAsia" w:ascii="仿宋_GB2312" w:eastAsia="仿宋_GB2312" w:cs="仿宋_GB2312"/>
          <w:sz w:val="32"/>
          <w:szCs w:val="32"/>
        </w:rPr>
        <w:t>（二）部门整体支出情况</w:t>
      </w:r>
    </w:p>
    <w:p>
      <w:pPr>
        <w:spacing w:line="560" w:lineRule="exact"/>
        <w:ind w:firstLine="416" w:firstLineChars="130"/>
        <w:rPr>
          <w:rFonts w:ascii="仿宋_GB2312" w:eastAsia="仿宋_GB2312" w:cs="Times New Roman"/>
          <w:sz w:val="32"/>
          <w:szCs w:val="32"/>
        </w:rPr>
      </w:pPr>
      <w:r>
        <w:rPr>
          <w:rFonts w:ascii="仿宋_GB2312" w:eastAsia="仿宋_GB2312" w:cs="仿宋_GB2312"/>
          <w:sz w:val="32"/>
          <w:szCs w:val="32"/>
          <w:lang w:eastAsia="zh-CN"/>
        </w:rPr>
        <w:t>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年，县财政批复</w:t>
      </w:r>
      <w:r>
        <w:rPr>
          <w:rFonts w:hint="eastAsia" w:ascii="仿宋_GB2312" w:eastAsia="仿宋_GB2312" w:cs="仿宋_GB2312"/>
          <w:sz w:val="32"/>
          <w:szCs w:val="32"/>
          <w:lang w:eastAsia="zh-CN"/>
        </w:rPr>
        <w:t>住保中心</w:t>
      </w:r>
      <w:r>
        <w:rPr>
          <w:rFonts w:hint="eastAsia" w:ascii="仿宋_GB2312" w:eastAsia="仿宋_GB2312" w:cs="仿宋_GB2312"/>
          <w:sz w:val="32"/>
          <w:szCs w:val="32"/>
        </w:rPr>
        <w:t>年初预算为</w:t>
      </w:r>
      <w:r>
        <w:rPr>
          <w:rFonts w:hint="eastAsia" w:ascii="仿宋_GB2312" w:eastAsia="仿宋_GB2312" w:cs="仿宋_GB2312"/>
          <w:sz w:val="32"/>
          <w:szCs w:val="32"/>
          <w:lang w:val="en-US" w:eastAsia="zh-CN"/>
        </w:rPr>
        <w:t>939.2</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w:t>
      </w:r>
      <w:r>
        <w:rPr>
          <w:rFonts w:hint="eastAsia" w:ascii="仿宋_GB2312" w:eastAsia="仿宋_GB2312" w:cs="仿宋_GB2312"/>
          <w:sz w:val="32"/>
          <w:szCs w:val="32"/>
        </w:rPr>
        <w:t>全年决算收入为</w:t>
      </w:r>
      <w:r>
        <w:rPr>
          <w:rFonts w:hint="eastAsia" w:ascii="仿宋_GB2312" w:eastAsia="仿宋_GB2312" w:cs="仿宋_GB2312"/>
          <w:sz w:val="32"/>
          <w:szCs w:val="32"/>
          <w:lang w:val="en-US" w:eastAsia="zh-CN"/>
        </w:rPr>
        <w:t>5604.78</w:t>
      </w:r>
      <w:r>
        <w:rPr>
          <w:rFonts w:hint="eastAsia" w:ascii="仿宋_GB2312" w:eastAsia="仿宋_GB2312" w:cs="仿宋_GB2312"/>
          <w:sz w:val="32"/>
          <w:szCs w:val="32"/>
        </w:rPr>
        <w:t>万元，决算实际支出</w:t>
      </w:r>
      <w:r>
        <w:rPr>
          <w:rFonts w:hint="eastAsia" w:ascii="仿宋_GB2312" w:eastAsia="仿宋_GB2312" w:cs="仿宋_GB2312"/>
          <w:sz w:val="32"/>
          <w:szCs w:val="32"/>
          <w:lang w:val="en-US" w:eastAsia="zh-CN"/>
        </w:rPr>
        <w:t>5604.78</w:t>
      </w:r>
      <w:r>
        <w:rPr>
          <w:rFonts w:hint="eastAsia" w:ascii="仿宋_GB2312" w:eastAsia="仿宋_GB2312" w:cs="仿宋_GB2312"/>
          <w:sz w:val="32"/>
          <w:szCs w:val="32"/>
        </w:rPr>
        <w:t>万元。</w:t>
      </w:r>
    </w:p>
    <w:p>
      <w:pPr>
        <w:spacing w:line="560" w:lineRule="exact"/>
        <w:ind w:firstLine="739" w:firstLineChars="231"/>
        <w:rPr>
          <w:rFonts w:ascii="仿宋_GB2312" w:eastAsia="仿宋_GB2312" w:cs="Times New Roman"/>
          <w:sz w:val="32"/>
          <w:szCs w:val="32"/>
        </w:rPr>
      </w:pPr>
      <w:r>
        <w:rPr>
          <w:rFonts w:hint="eastAsia" w:ascii="仿宋_GB2312" w:eastAsia="仿宋_GB2312" w:cs="仿宋_GB2312"/>
          <w:sz w:val="32"/>
          <w:szCs w:val="32"/>
        </w:rPr>
        <w:t>按经济科目划分，各项支出金额分别为：工资福利支出</w:t>
      </w:r>
      <w:r>
        <w:rPr>
          <w:rFonts w:hint="eastAsia" w:ascii="仿宋_GB2312" w:eastAsia="仿宋_GB2312" w:cs="仿宋_GB2312"/>
          <w:sz w:val="32"/>
          <w:szCs w:val="32"/>
          <w:lang w:val="en-US" w:eastAsia="zh-CN"/>
        </w:rPr>
        <w:t>949.35</w:t>
      </w:r>
      <w:r>
        <w:rPr>
          <w:rFonts w:ascii="仿宋_GB2312" w:eastAsia="仿宋_GB2312" w:cs="仿宋_GB2312"/>
          <w:sz w:val="32"/>
          <w:szCs w:val="32"/>
        </w:rPr>
        <w:t xml:space="preserve"> </w:t>
      </w:r>
      <w:r>
        <w:rPr>
          <w:rFonts w:hint="eastAsia" w:ascii="仿宋_GB2312" w:eastAsia="仿宋_GB2312" w:cs="仿宋_GB2312"/>
          <w:sz w:val="32"/>
          <w:szCs w:val="32"/>
        </w:rPr>
        <w:t>万元、商品和服务支出</w:t>
      </w:r>
      <w:r>
        <w:rPr>
          <w:rFonts w:hint="eastAsia" w:ascii="仿宋_GB2312" w:eastAsia="仿宋_GB2312" w:cs="仿宋_GB2312"/>
          <w:sz w:val="32"/>
          <w:szCs w:val="32"/>
          <w:lang w:val="en-US" w:eastAsia="zh-CN"/>
        </w:rPr>
        <w:t>384.46</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对个人和家庭的补助</w:t>
      </w:r>
      <w:r>
        <w:rPr>
          <w:rFonts w:hint="eastAsia" w:ascii="仿宋_GB2312" w:eastAsia="仿宋_GB2312" w:cs="仿宋_GB2312"/>
          <w:sz w:val="32"/>
          <w:szCs w:val="32"/>
          <w:lang w:val="en-US" w:eastAsia="zh-CN"/>
        </w:rPr>
        <w:t>107.6万元，</w:t>
      </w:r>
      <w:r>
        <w:rPr>
          <w:rFonts w:hint="eastAsia" w:ascii="仿宋_GB2312" w:eastAsia="仿宋_GB2312" w:cs="仿宋_GB2312"/>
          <w:sz w:val="32"/>
          <w:szCs w:val="32"/>
        </w:rPr>
        <w:t>其他资本性支出</w:t>
      </w:r>
      <w:r>
        <w:rPr>
          <w:rFonts w:hint="eastAsia" w:ascii="仿宋_GB2312" w:eastAsia="仿宋_GB2312" w:cs="仿宋_GB2312"/>
          <w:sz w:val="32"/>
          <w:szCs w:val="32"/>
          <w:lang w:val="en-US" w:eastAsia="zh-CN"/>
        </w:rPr>
        <w:t>4163.37</w:t>
      </w:r>
      <w:r>
        <w:rPr>
          <w:rFonts w:hint="eastAsia" w:ascii="仿宋_GB2312" w:eastAsia="仿宋_GB2312" w:cs="仿宋_GB2312"/>
          <w:sz w:val="32"/>
          <w:szCs w:val="32"/>
        </w:rPr>
        <w:t>万元合计</w:t>
      </w:r>
      <w:r>
        <w:rPr>
          <w:rFonts w:hint="eastAsia" w:ascii="仿宋_GB2312" w:eastAsia="仿宋_GB2312" w:cs="仿宋_GB2312"/>
          <w:sz w:val="32"/>
          <w:szCs w:val="32"/>
          <w:lang w:val="en-US" w:eastAsia="zh-CN"/>
        </w:rPr>
        <w:t>5604.78</w:t>
      </w:r>
      <w:r>
        <w:rPr>
          <w:rFonts w:hint="eastAsia" w:ascii="仿宋_GB2312" w:eastAsia="仿宋_GB2312" w:cs="仿宋_GB2312"/>
          <w:sz w:val="32"/>
          <w:szCs w:val="32"/>
        </w:rPr>
        <w:t>万元。上述支出中，基本支出</w:t>
      </w:r>
      <w:r>
        <w:rPr>
          <w:rFonts w:hint="eastAsia" w:ascii="仿宋_GB2312" w:eastAsia="仿宋_GB2312" w:cs="仿宋_GB2312"/>
          <w:sz w:val="32"/>
          <w:szCs w:val="32"/>
          <w:lang w:val="en-US" w:eastAsia="zh-CN"/>
        </w:rPr>
        <w:t>1119.95</w:t>
      </w:r>
      <w:r>
        <w:rPr>
          <w:rFonts w:hint="eastAsia" w:ascii="仿宋_GB2312" w:eastAsia="仿宋_GB2312" w:cs="仿宋_GB2312"/>
          <w:sz w:val="32"/>
          <w:szCs w:val="32"/>
        </w:rPr>
        <w:t>万元，项目支出</w:t>
      </w:r>
      <w:r>
        <w:rPr>
          <w:rFonts w:hint="eastAsia" w:ascii="仿宋_GB2312" w:eastAsia="仿宋_GB2312" w:cs="仿宋_GB2312"/>
          <w:sz w:val="32"/>
          <w:szCs w:val="32"/>
          <w:lang w:val="en-US" w:eastAsia="zh-CN"/>
        </w:rPr>
        <w:t>4484.83</w:t>
      </w:r>
      <w:r>
        <w:rPr>
          <w:rFonts w:hint="eastAsia" w:ascii="仿宋_GB2312" w:eastAsia="仿宋_GB2312" w:cs="仿宋_GB2312"/>
          <w:sz w:val="32"/>
          <w:szCs w:val="32"/>
        </w:rPr>
        <w:t>万元。</w:t>
      </w:r>
    </w:p>
    <w:p>
      <w:pPr>
        <w:spacing w:line="560" w:lineRule="exact"/>
        <w:rPr>
          <w:rFonts w:ascii="仿宋_GB2312" w:eastAsia="仿宋_GB2312" w:cs="Times New Roman"/>
          <w:sz w:val="32"/>
          <w:szCs w:val="32"/>
        </w:rPr>
      </w:pPr>
      <w:r>
        <w:rPr>
          <w:rFonts w:hint="eastAsia" w:ascii="仿宋_GB2312" w:eastAsia="仿宋_GB2312" w:cs="仿宋_GB2312"/>
          <w:sz w:val="32"/>
          <w:szCs w:val="32"/>
        </w:rPr>
        <w:t>（三）绩效目标设立情况</w:t>
      </w:r>
    </w:p>
    <w:p>
      <w:pPr>
        <w:spacing w:line="560" w:lineRule="exact"/>
        <w:ind w:firstLine="739" w:firstLineChars="231"/>
        <w:rPr>
          <w:rFonts w:ascii="仿宋_GB2312" w:eastAsia="仿宋_GB2312" w:cs="Times New Roman"/>
          <w:sz w:val="32"/>
          <w:szCs w:val="32"/>
        </w:rPr>
      </w:pPr>
      <w:r>
        <w:rPr>
          <w:rFonts w:hint="eastAsia" w:ascii="仿宋_GB2312" w:eastAsia="仿宋_GB2312" w:cs="仿宋_GB2312"/>
          <w:sz w:val="32"/>
          <w:szCs w:val="32"/>
        </w:rPr>
        <w:t>明确了</w:t>
      </w:r>
      <w:r>
        <w:rPr>
          <w:rFonts w:hint="eastAsia" w:ascii="仿宋_GB2312" w:eastAsia="仿宋_GB2312" w:cs="仿宋_GB2312"/>
          <w:sz w:val="32"/>
          <w:szCs w:val="32"/>
          <w:lang w:eastAsia="zh-CN"/>
        </w:rPr>
        <w:t>住保中心</w:t>
      </w:r>
      <w:r>
        <w:rPr>
          <w:rFonts w:ascii="仿宋_GB2312" w:eastAsia="仿宋_GB2312" w:cs="仿宋_GB2312"/>
          <w:sz w:val="32"/>
          <w:szCs w:val="32"/>
          <w:lang w:eastAsia="zh-CN"/>
        </w:rPr>
        <w:t>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年重点工作，明确了具体绩效目标，制定了相关考核细则。如《桃江县</w:t>
      </w:r>
      <w:r>
        <w:rPr>
          <w:rFonts w:hint="eastAsia" w:ascii="仿宋_GB2312" w:eastAsia="仿宋_GB2312" w:cs="仿宋_GB2312"/>
          <w:sz w:val="32"/>
          <w:szCs w:val="32"/>
          <w:lang w:eastAsia="zh-CN"/>
        </w:rPr>
        <w:t>住房保障服务中心</w:t>
      </w:r>
      <w:r>
        <w:rPr>
          <w:rFonts w:hint="eastAsia" w:ascii="仿宋_GB2312" w:eastAsia="仿宋_GB2312" w:cs="仿宋_GB2312"/>
          <w:sz w:val="32"/>
          <w:szCs w:val="32"/>
        </w:rPr>
        <w:t>关于印发</w:t>
      </w:r>
      <w:r>
        <w:rPr>
          <w:rFonts w:ascii="仿宋_GB2312" w:eastAsia="仿宋_GB2312" w:cs="仿宋_GB2312"/>
          <w:sz w:val="32"/>
          <w:szCs w:val="32"/>
        </w:rPr>
        <w:t>&lt;</w:t>
      </w:r>
      <w:r>
        <w:rPr>
          <w:rFonts w:ascii="仿宋_GB2312" w:eastAsia="仿宋_GB2312" w:cs="仿宋_GB2312"/>
          <w:sz w:val="32"/>
          <w:szCs w:val="32"/>
          <w:lang w:eastAsia="zh-CN"/>
        </w:rPr>
        <w:t>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年桃江县</w:t>
      </w:r>
      <w:r>
        <w:rPr>
          <w:rFonts w:hint="eastAsia" w:ascii="仿宋_GB2312" w:eastAsia="仿宋_GB2312" w:cs="仿宋_GB2312"/>
          <w:sz w:val="32"/>
          <w:szCs w:val="32"/>
          <w:lang w:eastAsia="zh-CN"/>
        </w:rPr>
        <w:t>住房保障服务中心</w:t>
      </w:r>
      <w:r>
        <w:rPr>
          <w:rFonts w:hint="eastAsia" w:ascii="仿宋_GB2312" w:eastAsia="仿宋_GB2312" w:cs="仿宋_GB2312"/>
          <w:sz w:val="32"/>
          <w:szCs w:val="32"/>
        </w:rPr>
        <w:t>二级机构绩效考核办法</w:t>
      </w:r>
      <w:r>
        <w:rPr>
          <w:rFonts w:ascii="仿宋_GB2312" w:eastAsia="仿宋_GB2312" w:cs="仿宋_GB2312"/>
          <w:sz w:val="32"/>
          <w:szCs w:val="32"/>
        </w:rPr>
        <w:t>&gt;</w:t>
      </w:r>
      <w:r>
        <w:rPr>
          <w:rFonts w:hint="eastAsia" w:ascii="仿宋_GB2312" w:eastAsia="仿宋_GB2312" w:cs="仿宋_GB2312"/>
          <w:sz w:val="32"/>
          <w:szCs w:val="32"/>
        </w:rPr>
        <w:t>的通知》</w:t>
      </w:r>
      <w:r>
        <w:rPr>
          <w:rFonts w:ascii="仿宋_GB2312" w:eastAsia="仿宋_GB2312" w:cs="仿宋_GB2312"/>
          <w:sz w:val="32"/>
          <w:szCs w:val="32"/>
        </w:rPr>
        <w:t>(</w:t>
      </w:r>
      <w:r>
        <w:rPr>
          <w:rFonts w:hint="eastAsia" w:ascii="仿宋_GB2312" w:eastAsia="仿宋_GB2312" w:cs="仿宋_GB2312"/>
          <w:sz w:val="32"/>
          <w:szCs w:val="32"/>
        </w:rPr>
        <w:t>桃</w:t>
      </w:r>
      <w:r>
        <w:rPr>
          <w:rFonts w:hint="eastAsia" w:ascii="仿宋_GB2312" w:eastAsia="仿宋_GB2312" w:cs="仿宋_GB2312"/>
          <w:sz w:val="32"/>
          <w:szCs w:val="32"/>
          <w:lang w:eastAsia="zh-CN"/>
        </w:rPr>
        <w:t>住保</w:t>
      </w:r>
      <w:r>
        <w:rPr>
          <w:rFonts w:hint="eastAsia" w:ascii="仿宋_GB2312" w:eastAsia="仿宋_GB2312" w:cs="仿宋_GB2312"/>
          <w:sz w:val="32"/>
          <w:szCs w:val="32"/>
        </w:rPr>
        <w:t>发（</w:t>
      </w:r>
      <w:r>
        <w:rPr>
          <w:rFonts w:ascii="仿宋_GB2312" w:eastAsia="仿宋_GB2312" w:cs="仿宋_GB2312"/>
          <w:sz w:val="32"/>
          <w:szCs w:val="32"/>
          <w:lang w:eastAsia="zh-CN"/>
        </w:rPr>
        <w:t>202</w:t>
      </w:r>
      <w:r>
        <w:rPr>
          <w:rFonts w:hint="eastAsia" w:ascii="仿宋_GB2312" w:eastAsia="仿宋_GB2312" w:cs="仿宋_GB2312"/>
          <w:sz w:val="32"/>
          <w:szCs w:val="32"/>
          <w:lang w:val="en-US" w:eastAsia="zh-CN"/>
        </w:rPr>
        <w:t>1</w:t>
      </w:r>
      <w:r>
        <w:rPr>
          <w:rFonts w:ascii="仿宋_GB2312" w:eastAsia="仿宋_GB2312" w:cs="仿宋_GB2312"/>
          <w:sz w:val="32"/>
          <w:szCs w:val="32"/>
        </w:rPr>
        <w:t>]</w:t>
      </w:r>
      <w:r>
        <w:rPr>
          <w:rFonts w:ascii="仿宋_GB2312" w:eastAsia="仿宋_GB2312" w:cs="仿宋_GB2312"/>
          <w:sz w:val="32"/>
          <w:szCs w:val="32"/>
          <w:lang w:eastAsia="zh-CN"/>
        </w:rPr>
        <w:t>6</w:t>
      </w:r>
      <w:r>
        <w:rPr>
          <w:rFonts w:hint="eastAsia" w:ascii="仿宋_GB2312" w:eastAsia="仿宋_GB2312" w:cs="仿宋_GB2312"/>
          <w:sz w:val="32"/>
          <w:szCs w:val="32"/>
        </w:rPr>
        <w:t>号</w:t>
      </w:r>
      <w:r>
        <w:rPr>
          <w:rFonts w:ascii="仿宋_GB2312" w:eastAsia="仿宋_GB2312" w:cs="仿宋_GB2312"/>
          <w:sz w:val="32"/>
          <w:szCs w:val="32"/>
        </w:rPr>
        <w:t>)</w:t>
      </w:r>
      <w:r>
        <w:rPr>
          <w:rFonts w:hint="eastAsia" w:ascii="仿宋_GB2312" w:eastAsia="仿宋_GB2312" w:cs="仿宋_GB2312"/>
          <w:sz w:val="32"/>
          <w:szCs w:val="32"/>
        </w:rPr>
        <w:t>。所有绩效考核项目明确了牵头领导、牵头股室、责任单位和时间要求，实行月督促、季调度、半年度检查，年终考核，确保了各项任务顺利完成，考核结果予以了通报。</w:t>
      </w:r>
    </w:p>
    <w:p>
      <w:pPr>
        <w:spacing w:line="560" w:lineRule="exact"/>
        <w:ind w:firstLine="742" w:firstLineChars="231"/>
        <w:rPr>
          <w:rFonts w:ascii="黑体" w:hAnsi="黑体" w:eastAsia="黑体" w:cs="Times New Roman"/>
          <w:b/>
          <w:bCs/>
          <w:sz w:val="32"/>
          <w:szCs w:val="32"/>
        </w:rPr>
      </w:pPr>
      <w:r>
        <w:rPr>
          <w:rFonts w:hint="eastAsia" w:ascii="黑体" w:hAnsi="黑体" w:eastAsia="黑体" w:cs="黑体"/>
          <w:b/>
          <w:bCs/>
          <w:sz w:val="32"/>
          <w:szCs w:val="32"/>
        </w:rPr>
        <w:t>二、部门整体支出管理及使用情况</w:t>
      </w:r>
    </w:p>
    <w:p>
      <w:pPr>
        <w:spacing w:line="560" w:lineRule="exact"/>
        <w:ind w:firstLine="739" w:firstLineChars="231"/>
        <w:rPr>
          <w:rFonts w:ascii="仿宋_GB2312" w:eastAsia="仿宋_GB2312" w:cs="Times New Roman"/>
          <w:sz w:val="32"/>
          <w:szCs w:val="32"/>
        </w:rPr>
      </w:pPr>
      <w:r>
        <w:rPr>
          <w:rFonts w:hint="eastAsia" w:ascii="仿宋_GB2312" w:eastAsia="仿宋_GB2312" w:cs="仿宋_GB2312"/>
          <w:sz w:val="32"/>
          <w:szCs w:val="32"/>
        </w:rPr>
        <w:t>（一）基本支出</w:t>
      </w:r>
    </w:p>
    <w:p>
      <w:pPr>
        <w:spacing w:line="560" w:lineRule="exact"/>
        <w:ind w:firstLine="739" w:firstLineChars="231"/>
        <w:rPr>
          <w:rFonts w:ascii="仿宋_GB2312" w:eastAsia="仿宋_GB2312" w:cs="Times New Roman"/>
          <w:sz w:val="32"/>
          <w:szCs w:val="32"/>
        </w:rPr>
      </w:pPr>
      <w:r>
        <w:rPr>
          <w:rFonts w:hint="eastAsia" w:ascii="仿宋_GB2312" w:eastAsia="仿宋_GB2312" w:cs="仿宋_GB2312"/>
          <w:sz w:val="32"/>
          <w:szCs w:val="32"/>
        </w:rPr>
        <w:t>基本支出用于为保障机构正常运转、完成日常工作任务而发生的支出，包括人员经费和日常公用经费。</w:t>
      </w:r>
    </w:p>
    <w:p>
      <w:pPr>
        <w:spacing w:line="560" w:lineRule="exact"/>
        <w:ind w:firstLine="739" w:firstLineChars="231"/>
        <w:rPr>
          <w:rFonts w:ascii="仿宋_GB2312" w:eastAsia="仿宋_GB2312" w:cs="Times New Roman"/>
          <w:sz w:val="32"/>
          <w:szCs w:val="32"/>
        </w:rPr>
      </w:pPr>
      <w:r>
        <w:rPr>
          <w:rFonts w:ascii="仿宋_GB2312" w:eastAsia="仿宋_GB2312" w:cs="仿宋_GB2312"/>
          <w:sz w:val="32"/>
          <w:szCs w:val="32"/>
          <w:lang w:eastAsia="zh-CN"/>
        </w:rPr>
        <w:t>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年，县财政批复的基本支出年初预算为</w:t>
      </w:r>
      <w:r>
        <w:rPr>
          <w:rFonts w:hint="eastAsia" w:ascii="仿宋_GB2312" w:eastAsia="仿宋_GB2312" w:cs="仿宋_GB2312"/>
          <w:sz w:val="32"/>
          <w:szCs w:val="32"/>
          <w:lang w:val="en-US" w:eastAsia="zh-CN"/>
        </w:rPr>
        <w:t>908.2</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，决算基本支出</w:t>
      </w:r>
      <w:r>
        <w:rPr>
          <w:rFonts w:hint="eastAsia" w:ascii="仿宋_GB2312" w:eastAsia="仿宋_GB2312" w:cs="仿宋_GB2312"/>
          <w:sz w:val="32"/>
          <w:szCs w:val="32"/>
          <w:lang w:val="en-US" w:eastAsia="zh-CN"/>
        </w:rPr>
        <w:t>1119.95万元，比预算增加211.75万元，增加了23.32%。主要是本单位大部分人员为自收自支人员没有纳入预算。</w:t>
      </w:r>
      <w:r>
        <w:rPr>
          <w:rFonts w:hint="eastAsia" w:ascii="仿宋_GB2312" w:eastAsia="仿宋_GB2312" w:cs="仿宋_GB2312"/>
          <w:sz w:val="32"/>
          <w:szCs w:val="32"/>
        </w:rPr>
        <w:t>按经济科目划分，各项支出决算金额分别为：工资福利支出</w:t>
      </w:r>
      <w:r>
        <w:rPr>
          <w:rFonts w:hint="eastAsia" w:ascii="仿宋_GB2312" w:eastAsia="仿宋_GB2312" w:cs="仿宋_GB2312"/>
          <w:sz w:val="32"/>
          <w:szCs w:val="32"/>
          <w:lang w:val="en-US" w:eastAsia="zh-CN"/>
        </w:rPr>
        <w:t>949.35</w:t>
      </w:r>
      <w:r>
        <w:rPr>
          <w:rFonts w:ascii="仿宋_GB2312" w:eastAsia="仿宋_GB2312" w:cs="仿宋_GB2312"/>
          <w:sz w:val="32"/>
          <w:szCs w:val="32"/>
        </w:rPr>
        <w:t xml:space="preserve"> </w:t>
      </w:r>
      <w:r>
        <w:rPr>
          <w:rFonts w:hint="eastAsia" w:ascii="仿宋_GB2312" w:eastAsia="仿宋_GB2312" w:cs="仿宋_GB2312"/>
          <w:sz w:val="32"/>
          <w:szCs w:val="32"/>
        </w:rPr>
        <w:t>万元；商品和服务支出</w:t>
      </w:r>
      <w:r>
        <w:rPr>
          <w:rFonts w:hint="eastAsia" w:ascii="仿宋_GB2312" w:eastAsia="仿宋_GB2312" w:cs="仿宋_GB2312"/>
          <w:sz w:val="32"/>
          <w:szCs w:val="32"/>
          <w:lang w:val="en-US" w:eastAsia="zh-CN"/>
        </w:rPr>
        <w:t>63</w:t>
      </w:r>
      <w:r>
        <w:rPr>
          <w:rFonts w:hint="eastAsia" w:ascii="仿宋_GB2312" w:eastAsia="仿宋_GB2312" w:cs="仿宋_GB2312"/>
          <w:sz w:val="32"/>
          <w:szCs w:val="32"/>
        </w:rPr>
        <w:t>万元</w:t>
      </w:r>
      <w:r>
        <w:rPr>
          <w:rFonts w:hint="eastAsia" w:ascii="仿宋_GB2312" w:eastAsia="仿宋_GB2312" w:cs="仿宋_GB2312"/>
          <w:sz w:val="32"/>
          <w:szCs w:val="32"/>
          <w:lang w:val="en-US" w:eastAsia="zh-CN"/>
        </w:rPr>
        <w:t>；对个人和家庭的补助107.6万元。</w:t>
      </w:r>
    </w:p>
    <w:p>
      <w:pPr>
        <w:spacing w:line="560" w:lineRule="exact"/>
        <w:rPr>
          <w:rFonts w:ascii="仿宋_GB2312" w:eastAsia="仿宋_GB2312" w:cs="Times New Roman"/>
          <w:sz w:val="32"/>
          <w:szCs w:val="32"/>
        </w:rPr>
      </w:pPr>
      <w:r>
        <w:rPr>
          <w:rFonts w:hint="eastAsia" w:ascii="仿宋_GB2312" w:eastAsia="仿宋_GB2312" w:cs="仿宋_GB2312"/>
          <w:sz w:val="32"/>
          <w:szCs w:val="32"/>
        </w:rPr>
        <w:t>（二</w:t>
      </w:r>
      <w:r>
        <w:rPr>
          <w:rFonts w:ascii="仿宋_GB2312" w:eastAsia="仿宋_GB2312" w:cs="仿宋_GB2312"/>
          <w:sz w:val="32"/>
          <w:szCs w:val="32"/>
        </w:rPr>
        <w:t>)</w:t>
      </w:r>
      <w:r>
        <w:rPr>
          <w:rFonts w:hint="eastAsia" w:ascii="仿宋_GB2312" w:eastAsia="仿宋_GB2312" w:cs="仿宋_GB2312"/>
          <w:sz w:val="32"/>
          <w:szCs w:val="32"/>
        </w:rPr>
        <w:t>项目支出</w:t>
      </w:r>
    </w:p>
    <w:p>
      <w:pPr>
        <w:spacing w:line="560" w:lineRule="exact"/>
        <w:ind w:firstLine="739" w:firstLineChars="231"/>
        <w:rPr>
          <w:rFonts w:ascii="仿宋_GB2312" w:eastAsia="仿宋_GB2312" w:cs="Times New Roman"/>
          <w:sz w:val="32"/>
          <w:szCs w:val="32"/>
        </w:rPr>
      </w:pPr>
      <w:r>
        <w:rPr>
          <w:rFonts w:hint="eastAsia" w:ascii="仿宋_GB2312" w:eastAsia="仿宋_GB2312" w:cs="仿宋_GB2312"/>
          <w:sz w:val="32"/>
          <w:szCs w:val="32"/>
        </w:rPr>
        <w:t>项目支出是在基本支出之外为完成其特定的行政工作任务而发生的支出，主要用于</w:t>
      </w:r>
      <w:r>
        <w:rPr>
          <w:rFonts w:hint="eastAsia" w:ascii="仿宋_GB2312" w:eastAsia="仿宋_GB2312" w:cs="仿宋_GB2312"/>
          <w:sz w:val="32"/>
          <w:szCs w:val="32"/>
          <w:lang w:eastAsia="zh-CN"/>
        </w:rPr>
        <w:t>棚户区改造及租赁补助的发放</w:t>
      </w:r>
      <w:r>
        <w:rPr>
          <w:rFonts w:hint="eastAsia" w:ascii="仿宋_GB2312" w:eastAsia="仿宋_GB2312" w:cs="仿宋_GB2312"/>
          <w:sz w:val="32"/>
          <w:szCs w:val="32"/>
        </w:rPr>
        <w:t>等。</w:t>
      </w:r>
    </w:p>
    <w:p>
      <w:pPr>
        <w:spacing w:line="560" w:lineRule="exact"/>
        <w:ind w:firstLine="739" w:firstLineChars="231"/>
        <w:rPr>
          <w:rFonts w:ascii="仿宋_GB2312" w:eastAsia="仿宋_GB2312" w:cs="Times New Roman"/>
          <w:sz w:val="32"/>
          <w:szCs w:val="32"/>
        </w:rPr>
      </w:pPr>
      <w:r>
        <w:rPr>
          <w:rFonts w:ascii="仿宋_GB2312" w:eastAsia="仿宋_GB2312" w:cs="仿宋_GB2312"/>
          <w:sz w:val="32"/>
          <w:szCs w:val="32"/>
          <w:lang w:eastAsia="zh-CN"/>
        </w:rPr>
        <w:t>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年，县财政批复机关的项目支出年初预算为</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350</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，其中安全生产费用</w:t>
      </w:r>
      <w:r>
        <w:rPr>
          <w:rFonts w:hint="eastAsia" w:ascii="仿宋_GB2312" w:eastAsia="仿宋_GB2312" w:cs="仿宋_GB2312"/>
          <w:sz w:val="32"/>
          <w:szCs w:val="32"/>
          <w:lang w:val="en-US" w:eastAsia="zh-CN"/>
        </w:rPr>
        <w:t>25万元、创卫工作经费15</w:t>
      </w:r>
      <w:r>
        <w:rPr>
          <w:rFonts w:hint="eastAsia" w:ascii="仿宋_GB2312" w:eastAsia="仿宋_GB2312" w:cs="仿宋_GB2312"/>
          <w:sz w:val="32"/>
          <w:szCs w:val="32"/>
          <w:lang w:eastAsia="zh-CN"/>
        </w:rPr>
        <w:t>万元、公租房租金收缴管理费用</w:t>
      </w:r>
      <w:r>
        <w:rPr>
          <w:rFonts w:hint="eastAsia" w:ascii="仿宋_GB2312" w:eastAsia="仿宋_GB2312" w:cs="仿宋_GB2312"/>
          <w:sz w:val="32"/>
          <w:szCs w:val="32"/>
          <w:lang w:val="en-US" w:eastAsia="zh-CN"/>
        </w:rPr>
        <w:t>310万元</w:t>
      </w:r>
      <w:r>
        <w:rPr>
          <w:rFonts w:hint="eastAsia" w:ascii="仿宋_GB2312" w:eastAsia="仿宋_GB2312" w:cs="仿宋_GB2312"/>
          <w:sz w:val="32"/>
          <w:szCs w:val="32"/>
        </w:rPr>
        <w:t>，</w:t>
      </w:r>
      <w:r>
        <w:rPr>
          <w:rFonts w:hint="eastAsia" w:ascii="仿宋_GB2312" w:eastAsia="仿宋_GB2312" w:cs="仿宋_GB2312"/>
          <w:sz w:val="32"/>
          <w:szCs w:val="32"/>
          <w:lang w:eastAsia="zh-CN"/>
        </w:rPr>
        <w:t>中心</w:t>
      </w:r>
      <w:r>
        <w:rPr>
          <w:rFonts w:hint="eastAsia" w:ascii="仿宋_GB2312" w:eastAsia="仿宋_GB2312" w:cs="仿宋_GB2312"/>
          <w:sz w:val="32"/>
          <w:szCs w:val="32"/>
        </w:rPr>
        <w:t>实际项目支出为</w:t>
      </w:r>
      <w:r>
        <w:rPr>
          <w:rFonts w:hint="eastAsia" w:ascii="仿宋_GB2312" w:eastAsia="仿宋_GB2312" w:cs="仿宋_GB2312"/>
          <w:sz w:val="32"/>
          <w:szCs w:val="32"/>
          <w:lang w:val="en-US" w:eastAsia="zh-CN"/>
        </w:rPr>
        <w:t>4484.83</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较年初预算增加</w:t>
      </w:r>
      <w:r>
        <w:rPr>
          <w:rFonts w:hint="eastAsia" w:ascii="仿宋_GB2312" w:eastAsia="仿宋_GB2312" w:cs="仿宋_GB2312"/>
          <w:sz w:val="32"/>
          <w:szCs w:val="32"/>
          <w:lang w:val="en-US" w:eastAsia="zh-CN"/>
        </w:rPr>
        <w:t>4134.83万元，增加了1181.38%。主要是棚户区改造项目没有纳入年初预算。</w:t>
      </w:r>
      <w:r>
        <w:rPr>
          <w:rFonts w:hint="eastAsia" w:ascii="仿宋_GB2312" w:eastAsia="仿宋_GB2312" w:cs="仿宋_GB2312"/>
          <w:sz w:val="32"/>
          <w:szCs w:val="32"/>
        </w:rPr>
        <w:t>按经济科目划分，各项支出决算金额分别为：商品和服务支</w:t>
      </w:r>
      <w:r>
        <w:rPr>
          <w:rFonts w:hint="eastAsia" w:ascii="仿宋_GB2312" w:eastAsia="仿宋_GB2312" w:cs="仿宋_GB2312"/>
          <w:sz w:val="32"/>
          <w:szCs w:val="32"/>
          <w:lang w:eastAsia="zh-CN"/>
        </w:rPr>
        <w:t>出</w:t>
      </w:r>
      <w:r>
        <w:rPr>
          <w:rFonts w:hint="eastAsia" w:ascii="仿宋_GB2312" w:eastAsia="仿宋_GB2312" w:cs="仿宋_GB2312"/>
          <w:sz w:val="32"/>
          <w:szCs w:val="32"/>
          <w:lang w:val="en-US" w:eastAsia="zh-CN"/>
        </w:rPr>
        <w:t>321.46</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资本性支出</w:t>
      </w:r>
      <w:r>
        <w:rPr>
          <w:rFonts w:hint="eastAsia" w:ascii="仿宋_GB2312" w:eastAsia="仿宋_GB2312" w:cs="仿宋_GB2312"/>
          <w:sz w:val="32"/>
          <w:szCs w:val="32"/>
          <w:lang w:val="en-US" w:eastAsia="zh-CN"/>
        </w:rPr>
        <w:t>4163.37</w:t>
      </w:r>
      <w:r>
        <w:rPr>
          <w:rFonts w:hint="eastAsia" w:ascii="仿宋_GB2312" w:eastAsia="仿宋_GB2312" w:cs="仿宋_GB2312"/>
          <w:sz w:val="32"/>
          <w:szCs w:val="32"/>
          <w:lang w:eastAsia="zh-CN"/>
        </w:rPr>
        <w:t>万元</w:t>
      </w:r>
      <w:r>
        <w:rPr>
          <w:rFonts w:hint="eastAsia" w:ascii="仿宋_GB2312" w:eastAsia="仿宋_GB2312" w:cs="仿宋_GB2312"/>
          <w:sz w:val="32"/>
          <w:szCs w:val="32"/>
        </w:rPr>
        <w:t>。</w:t>
      </w:r>
    </w:p>
    <w:p>
      <w:pPr>
        <w:spacing w:line="560" w:lineRule="exact"/>
        <w:ind w:firstLine="739" w:firstLineChars="231"/>
        <w:rPr>
          <w:rFonts w:ascii="仿宋_GB2312" w:eastAsia="仿宋_GB2312" w:cs="Times New Roman"/>
          <w:sz w:val="32"/>
          <w:szCs w:val="32"/>
        </w:rPr>
      </w:pPr>
      <w:r>
        <w:rPr>
          <w:rFonts w:hint="eastAsia" w:ascii="仿宋_GB2312" w:eastAsia="仿宋_GB2312" w:cs="仿宋_GB2312"/>
          <w:sz w:val="32"/>
          <w:szCs w:val="32"/>
        </w:rPr>
        <w:t>（三</w:t>
      </w:r>
      <w:r>
        <w:rPr>
          <w:rFonts w:ascii="仿宋_GB2312" w:eastAsia="仿宋_GB2312" w:cs="仿宋_GB2312"/>
          <w:sz w:val="32"/>
          <w:szCs w:val="32"/>
        </w:rPr>
        <w:t>)</w:t>
      </w:r>
      <w:r>
        <w:rPr>
          <w:rFonts w:hint="eastAsia" w:ascii="仿宋_GB2312" w:eastAsia="仿宋_GB2312" w:cs="仿宋_GB2312"/>
          <w:sz w:val="32"/>
          <w:szCs w:val="32"/>
        </w:rPr>
        <w:t>“三公”经费情况</w:t>
      </w:r>
    </w:p>
    <w:p>
      <w:pPr>
        <w:spacing w:line="560" w:lineRule="exact"/>
        <w:ind w:firstLine="739" w:firstLineChars="231"/>
        <w:rPr>
          <w:rFonts w:ascii="仿宋_GB2312" w:eastAsia="仿宋_GB2312" w:cs="Times New Roman"/>
          <w:sz w:val="32"/>
          <w:szCs w:val="32"/>
        </w:rPr>
      </w:pPr>
      <w:r>
        <w:rPr>
          <w:rFonts w:ascii="仿宋_GB2312" w:eastAsia="仿宋_GB2312" w:cs="仿宋_GB2312"/>
          <w:sz w:val="32"/>
          <w:szCs w:val="32"/>
          <w:lang w:eastAsia="zh-CN"/>
        </w:rPr>
        <w:t>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年全年决算支出“三公”经费</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万元，其中：因公出</w:t>
      </w:r>
      <w:r>
        <w:rPr>
          <w:rFonts w:hint="eastAsia" w:ascii="仿宋_GB2312" w:eastAsia="仿宋_GB2312" w:cs="仿宋_GB2312"/>
          <w:sz w:val="32"/>
          <w:szCs w:val="32"/>
          <w:lang w:eastAsia="zh-CN"/>
        </w:rPr>
        <w:t>国</w:t>
      </w:r>
      <w:r>
        <w:rPr>
          <w:rFonts w:hint="eastAsia" w:ascii="仿宋_GB2312" w:eastAsia="仿宋_GB2312" w:cs="仿宋_GB2312"/>
          <w:sz w:val="32"/>
          <w:szCs w:val="32"/>
        </w:rPr>
        <w:t>（境）费用</w:t>
      </w:r>
      <w:r>
        <w:rPr>
          <w:rFonts w:hint="eastAsia" w:ascii="仿宋_GB2312" w:eastAsia="仿宋_GB2312" w:cs="仿宋_GB2312"/>
          <w:sz w:val="32"/>
          <w:szCs w:val="32"/>
          <w:lang w:val="en-US" w:eastAsia="zh-CN"/>
        </w:rPr>
        <w:t>0万元；</w:t>
      </w:r>
      <w:r>
        <w:rPr>
          <w:rFonts w:hint="eastAsia" w:ascii="仿宋_GB2312" w:eastAsia="仿宋_GB2312" w:cs="仿宋_GB2312"/>
          <w:sz w:val="32"/>
          <w:szCs w:val="32"/>
        </w:rPr>
        <w:t>公务接待费</w:t>
      </w:r>
      <w:r>
        <w:rPr>
          <w:rFonts w:ascii="仿宋_GB2312" w:eastAsia="仿宋_GB2312" w:cs="仿宋_GB2312"/>
          <w:sz w:val="32"/>
          <w:szCs w:val="32"/>
        </w:rPr>
        <w:t xml:space="preserve"> </w:t>
      </w:r>
      <w:r>
        <w:rPr>
          <w:rFonts w:ascii="仿宋_GB2312" w:eastAsia="仿宋_GB2312" w:cs="仿宋_GB2312"/>
          <w:sz w:val="32"/>
          <w:szCs w:val="32"/>
          <w:lang w:eastAsia="zh-CN"/>
        </w:rPr>
        <w:t>1</w:t>
      </w:r>
      <w:r>
        <w:rPr>
          <w:rFonts w:hint="eastAsia" w:ascii="仿宋_GB2312" w:eastAsia="仿宋_GB2312" w:cs="仿宋_GB2312"/>
          <w:sz w:val="32"/>
          <w:szCs w:val="32"/>
        </w:rPr>
        <w:t>万元；公务用车运行维护费</w:t>
      </w:r>
      <w:r>
        <w:rPr>
          <w:rFonts w:ascii="仿宋_GB2312" w:eastAsia="仿宋_GB2312" w:cs="仿宋_GB2312"/>
          <w:sz w:val="32"/>
          <w:szCs w:val="32"/>
          <w:lang w:eastAsia="zh-CN"/>
        </w:rPr>
        <w:t>0</w:t>
      </w:r>
      <w:r>
        <w:rPr>
          <w:rFonts w:ascii="仿宋_GB2312" w:eastAsia="仿宋_GB2312" w:cs="仿宋_GB2312"/>
          <w:sz w:val="32"/>
          <w:szCs w:val="32"/>
        </w:rPr>
        <w:t xml:space="preserve"> </w:t>
      </w:r>
      <w:r>
        <w:rPr>
          <w:rFonts w:hint="eastAsia" w:ascii="仿宋_GB2312" w:eastAsia="仿宋_GB2312" w:cs="仿宋_GB2312"/>
          <w:sz w:val="32"/>
          <w:szCs w:val="32"/>
        </w:rPr>
        <w:t>万元。具体情况如下：</w:t>
      </w:r>
    </w:p>
    <w:p>
      <w:pPr>
        <w:spacing w:line="560" w:lineRule="exact"/>
        <w:ind w:firstLine="739" w:firstLineChars="231"/>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因公出国（境）费用。</w:t>
      </w:r>
    </w:p>
    <w:p>
      <w:pPr>
        <w:spacing w:line="560" w:lineRule="exact"/>
        <w:ind w:firstLine="739" w:firstLineChars="231"/>
        <w:rPr>
          <w:rFonts w:ascii="仿宋_GB2312" w:eastAsia="仿宋_GB2312" w:cs="Times New Roman"/>
          <w:sz w:val="32"/>
          <w:szCs w:val="32"/>
        </w:rPr>
      </w:pPr>
      <w:r>
        <w:rPr>
          <w:rFonts w:hint="eastAsia" w:ascii="仿宋_GB2312" w:eastAsia="仿宋_GB2312" w:cs="仿宋_GB2312"/>
          <w:sz w:val="32"/>
          <w:szCs w:val="32"/>
        </w:rPr>
        <w:t>全年无因公出国（境）费用。</w:t>
      </w:r>
    </w:p>
    <w:p>
      <w:pPr>
        <w:spacing w:line="560" w:lineRule="exact"/>
        <w:ind w:firstLine="739" w:firstLineChars="231"/>
        <w:rPr>
          <w:rFonts w:ascii="仿宋_GB2312" w:eastAsia="仿宋_GB2312" w:cs="Times New Roman"/>
          <w:sz w:val="32"/>
          <w:szCs w:val="32"/>
        </w:rPr>
      </w:pPr>
      <w:r>
        <w:rPr>
          <w:rFonts w:ascii="仿宋_GB2312" w:eastAsia="仿宋_GB2312" w:cs="仿宋_GB2312"/>
          <w:sz w:val="32"/>
          <w:szCs w:val="32"/>
        </w:rPr>
        <w:t xml:space="preserve">2. </w:t>
      </w:r>
      <w:r>
        <w:rPr>
          <w:rFonts w:hint="eastAsia" w:ascii="仿宋_GB2312" w:eastAsia="仿宋_GB2312" w:cs="仿宋_GB2312"/>
          <w:sz w:val="32"/>
          <w:szCs w:val="32"/>
        </w:rPr>
        <w:t>公务接待费。</w:t>
      </w:r>
    </w:p>
    <w:p>
      <w:pPr>
        <w:spacing w:line="560" w:lineRule="exact"/>
        <w:ind w:firstLine="739" w:firstLineChars="231"/>
        <w:rPr>
          <w:rFonts w:ascii="仿宋_GB2312" w:eastAsia="仿宋_GB2312" w:cs="Times New Roman"/>
          <w:sz w:val="32"/>
          <w:szCs w:val="32"/>
          <w:lang w:eastAsia="zh-CN"/>
        </w:rPr>
      </w:pPr>
      <w:r>
        <w:rPr>
          <w:rFonts w:ascii="仿宋_GB2312" w:eastAsia="仿宋_GB2312" w:cs="仿宋_GB2312"/>
          <w:sz w:val="32"/>
          <w:szCs w:val="32"/>
          <w:lang w:eastAsia="zh-CN"/>
        </w:rPr>
        <w:t>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年决算支出公务接待费</w:t>
      </w:r>
      <w:r>
        <w:rPr>
          <w:rFonts w:ascii="仿宋_GB2312" w:eastAsia="仿宋_GB2312" w:cs="仿宋_GB2312"/>
          <w:sz w:val="32"/>
          <w:szCs w:val="32"/>
          <w:lang w:eastAsia="zh-CN"/>
        </w:rPr>
        <w:t>1</w:t>
      </w:r>
      <w:r>
        <w:rPr>
          <w:rFonts w:hint="eastAsia" w:ascii="仿宋_GB2312" w:eastAsia="仿宋_GB2312" w:cs="仿宋_GB2312"/>
          <w:sz w:val="32"/>
          <w:szCs w:val="32"/>
        </w:rPr>
        <w:t>万元，较</w:t>
      </w:r>
      <w:r>
        <w:rPr>
          <w:rFonts w:hint="eastAsia" w:ascii="仿宋_GB2312" w:eastAsia="仿宋_GB2312" w:cs="仿宋_GB2312"/>
          <w:sz w:val="32"/>
          <w:szCs w:val="32"/>
          <w:lang w:val="en-US" w:eastAsia="zh-CN"/>
        </w:rPr>
        <w:t>去</w:t>
      </w:r>
      <w:r>
        <w:rPr>
          <w:rFonts w:hint="eastAsia" w:ascii="仿宋_GB2312" w:eastAsia="仿宋_GB2312" w:cs="仿宋_GB2312"/>
          <w:sz w:val="32"/>
          <w:szCs w:val="32"/>
        </w:rPr>
        <w:t>年支出公务接待费</w:t>
      </w:r>
      <w:r>
        <w:rPr>
          <w:rFonts w:hint="eastAsia" w:ascii="仿宋_GB2312" w:eastAsia="仿宋_GB2312" w:cs="仿宋_GB2312"/>
          <w:sz w:val="32"/>
          <w:szCs w:val="32"/>
          <w:lang w:eastAsia="zh-CN"/>
        </w:rPr>
        <w:t>持平</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全年共接待批次</w:t>
      </w:r>
      <w:r>
        <w:rPr>
          <w:rFonts w:hint="eastAsia" w:ascii="仿宋_GB2312" w:eastAsia="仿宋_GB2312" w:cs="仿宋_GB2312"/>
          <w:sz w:val="32"/>
          <w:szCs w:val="32"/>
          <w:lang w:val="en-US" w:eastAsia="zh-CN"/>
        </w:rPr>
        <w:t>40</w:t>
      </w:r>
      <w:r>
        <w:rPr>
          <w:rFonts w:hint="eastAsia" w:ascii="仿宋_GB2312" w:eastAsia="仿宋_GB2312" w:cs="仿宋_GB2312"/>
          <w:sz w:val="32"/>
          <w:szCs w:val="32"/>
          <w:lang w:eastAsia="zh-CN"/>
        </w:rPr>
        <w:t>批，接待人次共</w:t>
      </w:r>
      <w:r>
        <w:rPr>
          <w:rFonts w:hint="eastAsia" w:ascii="仿宋_GB2312" w:eastAsia="仿宋_GB2312" w:cs="仿宋_GB2312"/>
          <w:sz w:val="32"/>
          <w:szCs w:val="32"/>
          <w:lang w:val="en-US" w:eastAsia="zh-CN"/>
        </w:rPr>
        <w:t>238</w:t>
      </w:r>
      <w:r>
        <w:rPr>
          <w:rFonts w:hint="eastAsia" w:ascii="仿宋_GB2312" w:eastAsia="仿宋_GB2312" w:cs="仿宋_GB2312"/>
          <w:sz w:val="32"/>
          <w:szCs w:val="32"/>
          <w:lang w:eastAsia="zh-CN"/>
        </w:rPr>
        <w:t>人。</w:t>
      </w:r>
    </w:p>
    <w:p>
      <w:pPr>
        <w:spacing w:line="560" w:lineRule="exact"/>
        <w:ind w:firstLine="739" w:firstLineChars="231"/>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公务用车购置及运行费。</w:t>
      </w:r>
    </w:p>
    <w:p>
      <w:pPr>
        <w:spacing w:line="560" w:lineRule="exact"/>
        <w:ind w:firstLine="739" w:firstLineChars="231"/>
        <w:rPr>
          <w:rFonts w:ascii="仿宋_GB2312" w:eastAsia="仿宋_GB2312" w:cs="Times New Roman"/>
          <w:sz w:val="32"/>
          <w:szCs w:val="32"/>
          <w:lang w:eastAsia="zh-CN"/>
        </w:rPr>
      </w:pPr>
      <w:r>
        <w:rPr>
          <w:rFonts w:ascii="仿宋_GB2312" w:eastAsia="仿宋_GB2312" w:cs="仿宋_GB2312"/>
          <w:sz w:val="32"/>
          <w:szCs w:val="32"/>
          <w:lang w:eastAsia="zh-CN"/>
        </w:rPr>
        <w:t>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年公务车运行维护费</w:t>
      </w:r>
      <w:r>
        <w:rPr>
          <w:rFonts w:ascii="仿宋_GB2312" w:eastAsia="仿宋_GB2312" w:cs="仿宋_GB2312"/>
          <w:sz w:val="32"/>
          <w:szCs w:val="32"/>
          <w:lang w:eastAsia="zh-CN"/>
        </w:rPr>
        <w:t>0</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主要是本单位公车改制后没有公车。</w:t>
      </w:r>
    </w:p>
    <w:p>
      <w:pPr>
        <w:spacing w:line="560" w:lineRule="exact"/>
        <w:rPr>
          <w:rFonts w:ascii="仿宋_GB2312" w:eastAsia="仿宋_GB2312" w:cs="Times New Roman"/>
          <w:sz w:val="32"/>
          <w:szCs w:val="32"/>
        </w:rPr>
      </w:pPr>
      <w:r>
        <w:rPr>
          <w:rFonts w:hint="eastAsia" w:ascii="仿宋_GB2312" w:eastAsia="仿宋_GB2312" w:cs="仿宋_GB2312"/>
          <w:sz w:val="32"/>
          <w:szCs w:val="32"/>
        </w:rPr>
        <w:t>（四）公用经费情况</w:t>
      </w:r>
    </w:p>
    <w:p>
      <w:pPr>
        <w:spacing w:line="560" w:lineRule="exact"/>
        <w:ind w:firstLine="739" w:firstLineChars="231"/>
        <w:rPr>
          <w:rFonts w:hint="default" w:ascii="仿宋_GB2312" w:eastAsia="仿宋_GB2312" w:cs="仿宋_GB2312"/>
          <w:sz w:val="32"/>
          <w:szCs w:val="32"/>
          <w:lang w:val="en-US" w:eastAsia="zh-CN"/>
        </w:rPr>
      </w:pPr>
      <w:r>
        <w:rPr>
          <w:rFonts w:ascii="仿宋_GB2312" w:eastAsia="仿宋_GB2312" w:cs="仿宋_GB2312"/>
          <w:sz w:val="32"/>
          <w:szCs w:val="32"/>
          <w:lang w:eastAsia="zh-CN"/>
        </w:rPr>
        <w:t>202</w:t>
      </w:r>
      <w:r>
        <w:rPr>
          <w:rFonts w:hint="eastAsia" w:ascii="仿宋_GB2312" w:eastAsia="仿宋_GB2312" w:cs="仿宋_GB2312"/>
          <w:sz w:val="32"/>
          <w:szCs w:val="32"/>
          <w:lang w:val="en-US" w:eastAsia="zh-CN"/>
        </w:rPr>
        <w:t>1</w:t>
      </w:r>
      <w:r>
        <w:rPr>
          <w:rFonts w:ascii="仿宋_GB2312" w:eastAsia="仿宋_GB2312" w:cs="仿宋_GB2312"/>
          <w:sz w:val="32"/>
          <w:szCs w:val="32"/>
        </w:rPr>
        <w:t xml:space="preserve"> </w:t>
      </w:r>
      <w:r>
        <w:rPr>
          <w:rFonts w:hint="eastAsia" w:ascii="仿宋_GB2312" w:eastAsia="仿宋_GB2312" w:cs="仿宋_GB2312"/>
          <w:sz w:val="32"/>
          <w:szCs w:val="32"/>
        </w:rPr>
        <w:t>年决算公用经费支</w:t>
      </w:r>
      <w:r>
        <w:rPr>
          <w:rFonts w:hint="eastAsia" w:ascii="仿宋_GB2312" w:eastAsia="仿宋_GB2312" w:cs="仿宋_GB2312"/>
          <w:sz w:val="32"/>
          <w:szCs w:val="32"/>
          <w:lang w:val="en-US" w:eastAsia="zh-CN"/>
        </w:rPr>
        <w:t>63万元，187.7较去年减少了124.7</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，减少</w:t>
      </w:r>
      <w:r>
        <w:rPr>
          <w:rFonts w:hint="eastAsia" w:ascii="仿宋_GB2312" w:eastAsia="仿宋_GB2312" w:cs="仿宋_GB2312"/>
          <w:sz w:val="32"/>
          <w:szCs w:val="32"/>
          <w:lang w:val="en-US" w:eastAsia="zh-CN"/>
        </w:rPr>
        <w:t>66.44%</w:t>
      </w:r>
      <w:r>
        <w:rPr>
          <w:rFonts w:hint="eastAsia" w:ascii="仿宋_GB2312" w:eastAsia="仿宋_GB2312" w:cs="仿宋_GB2312"/>
          <w:sz w:val="32"/>
          <w:szCs w:val="32"/>
          <w:lang w:eastAsia="zh-CN"/>
        </w:rPr>
        <w:t>。公用经费</w:t>
      </w:r>
      <w:r>
        <w:rPr>
          <w:rFonts w:hint="eastAsia" w:ascii="仿宋_GB2312" w:eastAsia="仿宋_GB2312" w:cs="仿宋_GB2312"/>
          <w:sz w:val="32"/>
          <w:szCs w:val="32"/>
        </w:rPr>
        <w:t>占当年经费支出比</w:t>
      </w:r>
      <w:r>
        <w:rPr>
          <w:rFonts w:hint="eastAsia" w:ascii="仿宋_GB2312" w:eastAsia="仿宋_GB2312" w:cs="仿宋_GB2312"/>
          <w:sz w:val="32"/>
          <w:szCs w:val="32"/>
          <w:lang w:val="en-US" w:eastAsia="zh-CN"/>
        </w:rPr>
        <w:t>1.12</w:t>
      </w:r>
      <w:r>
        <w:rPr>
          <w:rFonts w:ascii="仿宋_GB2312" w:eastAsia="仿宋_GB2312" w:cs="仿宋_GB2312"/>
          <w:sz w:val="32"/>
          <w:szCs w:val="32"/>
        </w:rPr>
        <w:t>%</w:t>
      </w:r>
      <w:r>
        <w:rPr>
          <w:rFonts w:hint="eastAsia" w:ascii="仿宋_GB2312" w:eastAsia="仿宋_GB2312" w:cs="仿宋_GB2312"/>
          <w:sz w:val="32"/>
          <w:szCs w:val="32"/>
          <w:lang w:eastAsia="zh-CN"/>
        </w:rPr>
        <w:t>。其中：</w:t>
      </w:r>
      <w:r>
        <w:rPr>
          <w:rFonts w:hint="eastAsia" w:ascii="仿宋_GB2312" w:eastAsia="仿宋_GB2312" w:cs="仿宋_GB2312"/>
          <w:sz w:val="32"/>
          <w:szCs w:val="32"/>
          <w:lang w:val="en-US" w:eastAsia="zh-CN"/>
        </w:rPr>
        <w:t>办公费13.55万元；差旅费2.42万元；租赁费6万元；会议费5.05万元；培训费5.95万元；公务接待费1万元；劳务费6.48万元；工会经费13.54万元；其他商品和服务支出9.01万元。</w:t>
      </w:r>
      <w:bookmarkStart w:id="0" w:name="_GoBack"/>
      <w:bookmarkEnd w:id="0"/>
    </w:p>
    <w:p>
      <w:pPr>
        <w:spacing w:line="56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三、项目组织实施情况</w:t>
      </w:r>
    </w:p>
    <w:p>
      <w:pPr>
        <w:spacing w:line="560" w:lineRule="exact"/>
        <w:ind w:firstLine="739" w:firstLineChars="231"/>
        <w:rPr>
          <w:rFonts w:ascii="仿宋_GB2312" w:eastAsia="仿宋_GB2312" w:cs="Times New Roman"/>
          <w:sz w:val="32"/>
          <w:szCs w:val="32"/>
        </w:rPr>
      </w:pPr>
      <w:r>
        <w:rPr>
          <w:rFonts w:hint="eastAsia" w:ascii="仿宋_GB2312" w:eastAsia="仿宋_GB2312" w:cs="仿宋_GB2312"/>
          <w:sz w:val="32"/>
          <w:szCs w:val="32"/>
        </w:rPr>
        <w:t>根据《桃江县财政局关于</w:t>
      </w:r>
      <w:r>
        <w:rPr>
          <w:rFonts w:hint="eastAsia" w:ascii="仿宋_GB2312" w:eastAsia="仿宋_GB2312" w:cs="仿宋_GB2312"/>
          <w:sz w:val="32"/>
          <w:szCs w:val="32"/>
          <w:lang w:eastAsia="zh-CN"/>
        </w:rPr>
        <w:t>开展</w:t>
      </w:r>
      <w:r>
        <w:rPr>
          <w:rFonts w:ascii="仿宋_GB2312" w:eastAsia="仿宋_GB2312" w:cs="仿宋_GB2312"/>
          <w:sz w:val="32"/>
          <w:szCs w:val="32"/>
          <w:lang w:eastAsia="zh-CN"/>
        </w:rPr>
        <w:t>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lang w:eastAsia="zh-CN"/>
        </w:rPr>
        <w:t>年度财政资金绩效评价工作</w:t>
      </w:r>
      <w:r>
        <w:rPr>
          <w:rFonts w:hint="eastAsia" w:ascii="仿宋_GB2312" w:eastAsia="仿宋_GB2312" w:cs="仿宋_GB2312"/>
          <w:sz w:val="32"/>
          <w:szCs w:val="32"/>
        </w:rPr>
        <w:t>的通知》</w:t>
      </w:r>
      <w:r>
        <w:rPr>
          <w:rFonts w:ascii="仿宋_GB2312" w:eastAsia="仿宋_GB2312" w:cs="仿宋_GB2312"/>
          <w:sz w:val="32"/>
          <w:szCs w:val="32"/>
        </w:rPr>
        <w:t>(</w:t>
      </w:r>
      <w:r>
        <w:rPr>
          <w:rFonts w:hint="eastAsia" w:ascii="仿宋_GB2312" w:eastAsia="仿宋_GB2312" w:cs="仿宋_GB2312"/>
          <w:sz w:val="32"/>
          <w:szCs w:val="32"/>
        </w:rPr>
        <w:t>桃财绩［</w:t>
      </w:r>
      <w:r>
        <w:rPr>
          <w:rFonts w:ascii="仿宋_GB2312" w:eastAsia="仿宋_GB2312" w:cs="仿宋_GB2312"/>
          <w:sz w:val="32"/>
          <w:szCs w:val="32"/>
          <w:lang w:eastAsia="zh-CN"/>
        </w:rPr>
        <w:t>2021</w:t>
      </w:r>
      <w:r>
        <w:rPr>
          <w:rFonts w:ascii="仿宋_GB2312" w:eastAsia="仿宋_GB2312" w:cs="仿宋_GB2312"/>
          <w:sz w:val="32"/>
          <w:szCs w:val="32"/>
        </w:rPr>
        <w:t>]</w:t>
      </w:r>
      <w:r>
        <w:rPr>
          <w:rFonts w:ascii="仿宋_GB2312" w:eastAsia="仿宋_GB2312" w:cs="仿宋_GB2312"/>
          <w:sz w:val="32"/>
          <w:szCs w:val="32"/>
          <w:lang w:eastAsia="zh-CN"/>
        </w:rPr>
        <w:t>14</w:t>
      </w:r>
      <w:r>
        <w:rPr>
          <w:rFonts w:ascii="仿宋_GB2312" w:eastAsia="仿宋_GB2312" w:cs="仿宋_GB2312"/>
          <w:sz w:val="32"/>
          <w:szCs w:val="32"/>
        </w:rPr>
        <w:t xml:space="preserve"> </w:t>
      </w:r>
      <w:r>
        <w:rPr>
          <w:rFonts w:hint="eastAsia" w:ascii="仿宋_GB2312" w:eastAsia="仿宋_GB2312" w:cs="仿宋_GB2312"/>
          <w:sz w:val="32"/>
          <w:szCs w:val="32"/>
        </w:rPr>
        <w:t>号</w:t>
      </w:r>
      <w:r>
        <w:rPr>
          <w:rFonts w:ascii="仿宋_GB2312" w:eastAsia="仿宋_GB2312" w:cs="仿宋_GB2312"/>
          <w:sz w:val="32"/>
          <w:szCs w:val="32"/>
        </w:rPr>
        <w:t>)</w:t>
      </w:r>
      <w:r>
        <w:rPr>
          <w:rFonts w:hint="eastAsia" w:ascii="仿宋_GB2312" w:eastAsia="仿宋_GB2312" w:cs="仿宋_GB2312"/>
          <w:sz w:val="32"/>
          <w:szCs w:val="32"/>
        </w:rPr>
        <w:t>，桃江县</w:t>
      </w:r>
      <w:r>
        <w:rPr>
          <w:rFonts w:hint="eastAsia" w:ascii="仿宋_GB2312" w:eastAsia="仿宋_GB2312" w:cs="仿宋_GB2312"/>
          <w:sz w:val="32"/>
          <w:szCs w:val="32"/>
          <w:lang w:eastAsia="zh-CN"/>
        </w:rPr>
        <w:t>住房保障服务中心</w:t>
      </w:r>
      <w:r>
        <w:rPr>
          <w:rFonts w:hint="eastAsia" w:ascii="仿宋_GB2312" w:eastAsia="仿宋_GB2312" w:cs="仿宋_GB2312"/>
          <w:sz w:val="32"/>
          <w:szCs w:val="32"/>
        </w:rPr>
        <w:t>成立了绩效评价工作领导小组，负责绩效评价工作的组织领导和具体实施。评价小组采取座谈等方式听取情况，检查基本支出、项目支出有关账目，收集整理支出相关资料，并根据各股室和二级机构报送的绩效自评材料进行自评，经自评得分为</w:t>
      </w:r>
      <w:r>
        <w:rPr>
          <w:rFonts w:ascii="仿宋_GB2312" w:eastAsia="仿宋_GB2312" w:cs="仿宋_GB2312"/>
          <w:sz w:val="32"/>
          <w:szCs w:val="32"/>
        </w:rPr>
        <w:t xml:space="preserve"> </w:t>
      </w:r>
      <w:r>
        <w:rPr>
          <w:rFonts w:ascii="仿宋_GB2312" w:eastAsia="仿宋_GB2312" w:cs="仿宋_GB2312"/>
          <w:sz w:val="32"/>
          <w:szCs w:val="32"/>
          <w:lang w:eastAsia="zh-CN"/>
        </w:rPr>
        <w:t>99</w:t>
      </w:r>
      <w:r>
        <w:rPr>
          <w:rFonts w:hint="eastAsia" w:ascii="仿宋_GB2312" w:eastAsia="仿宋_GB2312" w:cs="仿宋_GB2312"/>
          <w:sz w:val="32"/>
          <w:szCs w:val="32"/>
        </w:rPr>
        <w:t>分，最后根据实际情况进行全面分析，形成评价部门整体支出绩效评价报告上报县财政局。</w:t>
      </w:r>
    </w:p>
    <w:p>
      <w:pPr>
        <w:spacing w:line="560" w:lineRule="exact"/>
        <w:ind w:firstLine="742" w:firstLineChars="231"/>
        <w:rPr>
          <w:rFonts w:ascii="黑体" w:hAnsi="黑体" w:eastAsia="黑体" w:cs="Times New Roman"/>
          <w:b/>
          <w:bCs/>
          <w:sz w:val="32"/>
          <w:szCs w:val="32"/>
        </w:rPr>
      </w:pPr>
      <w:r>
        <w:rPr>
          <w:rFonts w:hint="eastAsia" w:ascii="黑体" w:hAnsi="黑体" w:eastAsia="黑体" w:cs="黑体"/>
          <w:b/>
          <w:bCs/>
          <w:sz w:val="32"/>
          <w:szCs w:val="32"/>
        </w:rPr>
        <w:t>四、部门整体支出绩效情况</w:t>
      </w:r>
    </w:p>
    <w:p>
      <w:pPr>
        <w:keepNext w:val="0"/>
        <w:keepLines w:val="0"/>
        <w:pageBreakBefore w:val="0"/>
        <w:kinsoku/>
        <w:wordWrap/>
        <w:overflowPunct/>
        <w:topLinePunct w:val="0"/>
        <w:autoSpaceDE/>
        <w:autoSpaceDN/>
        <w:bidi w:val="0"/>
        <w:spacing w:after="0" w:line="594" w:lineRule="exact"/>
        <w:ind w:firstLine="643" w:firstLineChars="200"/>
        <w:jc w:val="both"/>
        <w:textAlignment w:val="auto"/>
        <w:rPr>
          <w:rFonts w:ascii="仿宋_GB2312" w:hAnsi="仿宋_GB2312" w:eastAsia="仿宋_GB2312" w:cs="仿宋_GB2312"/>
          <w:sz w:val="32"/>
          <w:szCs w:val="32"/>
        </w:rPr>
      </w:pPr>
      <w:r>
        <w:rPr>
          <w:rFonts w:hint="eastAsia" w:ascii="楷体" w:hAnsi="楷体" w:eastAsia="楷体" w:cs="楷体"/>
          <w:b/>
          <w:bCs w:val="0"/>
          <w:sz w:val="32"/>
          <w:szCs w:val="32"/>
        </w:rPr>
        <w:t>（一）</w:t>
      </w:r>
      <w:r>
        <w:rPr>
          <w:rFonts w:hint="eastAsia" w:ascii="楷体" w:hAnsi="楷体" w:eastAsia="楷体" w:cs="楷体"/>
          <w:b/>
          <w:bCs w:val="0"/>
          <w:sz w:val="32"/>
          <w:szCs w:val="32"/>
          <w:lang w:eastAsia="zh-CN"/>
        </w:rPr>
        <w:t>坚持政治引领，持续搞好公租房管理</w:t>
      </w:r>
      <w:r>
        <w:rPr>
          <w:rFonts w:hint="eastAsia" w:ascii="楷体" w:hAnsi="楷体" w:eastAsia="楷体" w:cs="楷体"/>
          <w:b/>
          <w:bCs w:val="0"/>
          <w:sz w:val="32"/>
          <w:szCs w:val="32"/>
        </w:rPr>
        <w:t>。</w:t>
      </w:r>
      <w:r>
        <w:rPr>
          <w:rFonts w:hint="eastAsia" w:ascii="仿宋_GB2312" w:hAnsi="仿宋_GB2312" w:eastAsia="仿宋_GB2312" w:cs="仿宋_GB2312"/>
          <w:bCs/>
          <w:sz w:val="32"/>
          <w:szCs w:val="32"/>
        </w:rPr>
        <w:t>以解决困难群体的住房问题、打造温馨宜居小区、规范后续运营管理等为着力点，进一步加大人力、财力及物力投入，全力推进公租房小区健康有序发展。</w:t>
      </w:r>
      <w:r>
        <w:rPr>
          <w:rFonts w:hint="eastAsia" w:ascii="仿宋_GB2312" w:eastAsia="仿宋_GB2312"/>
          <w:b/>
          <w:bCs w:val="0"/>
          <w:sz w:val="32"/>
          <w:szCs w:val="32"/>
        </w:rPr>
        <w:t>一是</w:t>
      </w:r>
      <w:r>
        <w:rPr>
          <w:rFonts w:hint="eastAsia" w:ascii="仿宋_GB2312" w:eastAsia="仿宋_GB2312"/>
          <w:bCs/>
          <w:sz w:val="32"/>
          <w:szCs w:val="32"/>
          <w:lang w:eastAsia="zh-CN"/>
        </w:rPr>
        <w:t>基本完成年度公租房实物配租和住房租赁补贴发放工作。目前</w:t>
      </w:r>
      <w:r>
        <w:rPr>
          <w:rFonts w:hint="eastAsia" w:ascii="仿宋_GB2312" w:eastAsia="仿宋_GB2312"/>
          <w:sz w:val="32"/>
          <w:szCs w:val="32"/>
        </w:rPr>
        <w:t>已完成两批次公租房实物配租及住房租赁补贴发放，受理、审核并分配符合条件的配租对象270户，发放租赁补贴905户，发放补贴金额80余万元，惠及困难群众3000余人次，第三批公租房分配与住房补贴发放工作正在推进当中，预计12月底可完成。</w:t>
      </w:r>
      <w:r>
        <w:rPr>
          <w:rFonts w:hint="eastAsia" w:ascii="仿宋_GB2312" w:eastAsia="仿宋_GB2312"/>
          <w:b/>
          <w:bCs w:val="0"/>
          <w:sz w:val="32"/>
          <w:szCs w:val="32"/>
        </w:rPr>
        <w:t>二是</w:t>
      </w:r>
      <w:r>
        <w:rPr>
          <w:rFonts w:hint="eastAsia" w:ascii="仿宋_GB2312" w:hAnsi="仿宋_GB2312" w:eastAsia="仿宋_GB2312" w:cs="仿宋_GB2312"/>
          <w:bCs/>
          <w:sz w:val="32"/>
          <w:szCs w:val="32"/>
        </w:rPr>
        <w:t>合理调配项目资金</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积极梳理历年公租房项目，投入</w:t>
      </w:r>
      <w:r>
        <w:rPr>
          <w:rFonts w:hint="eastAsia" w:ascii="仿宋_GB2312" w:hAnsi="仿宋_GB2312" w:eastAsia="仿宋_GB2312" w:cs="仿宋_GB2312"/>
          <w:bCs/>
          <w:sz w:val="32"/>
          <w:szCs w:val="32"/>
          <w:lang w:eastAsia="zh-CN"/>
        </w:rPr>
        <w:t>结余结转资金</w:t>
      </w:r>
      <w:r>
        <w:rPr>
          <w:rFonts w:hint="eastAsia" w:ascii="仿宋_GB2312" w:hAnsi="仿宋_GB2312" w:eastAsia="仿宋_GB2312" w:cs="仿宋_GB2312"/>
          <w:bCs/>
          <w:sz w:val="32"/>
          <w:szCs w:val="32"/>
        </w:rPr>
        <w:t>近500万元用于县城公租房小区改造，</w:t>
      </w:r>
      <w:r>
        <w:rPr>
          <w:rFonts w:hint="eastAsia" w:ascii="仿宋_GB2312" w:hAnsi="仿宋_GB2312" w:eastAsia="仿宋_GB2312" w:cs="仿宋_GB2312"/>
          <w:bCs/>
          <w:sz w:val="32"/>
          <w:szCs w:val="32"/>
          <w:lang w:eastAsia="zh-CN"/>
        </w:rPr>
        <w:t>完成</w:t>
      </w:r>
      <w:r>
        <w:rPr>
          <w:rFonts w:hint="eastAsia" w:ascii="仿宋_GB2312" w:hAnsi="仿宋_GB2312" w:eastAsia="仿宋_GB2312" w:cs="仿宋_GB2312"/>
          <w:bCs/>
          <w:sz w:val="32"/>
          <w:szCs w:val="32"/>
        </w:rPr>
        <w:t>杨家坳保障房小区基础配</w:t>
      </w:r>
      <w:r>
        <w:rPr>
          <w:rFonts w:hint="eastAsia" w:ascii="仿宋_GB2312" w:eastAsia="仿宋_GB2312"/>
          <w:bCs/>
          <w:sz w:val="32"/>
          <w:szCs w:val="32"/>
        </w:rPr>
        <w:t>套设施提质改造、桃谷山小区微型消防站建设、</w:t>
      </w:r>
      <w:r>
        <w:rPr>
          <w:rFonts w:hint="eastAsia" w:ascii="仿宋_GB2312" w:eastAsia="仿宋_GB2312"/>
          <w:bCs/>
          <w:sz w:val="32"/>
          <w:szCs w:val="32"/>
          <w:lang w:eastAsia="zh-CN"/>
        </w:rPr>
        <w:t>其他</w:t>
      </w:r>
      <w:r>
        <w:rPr>
          <w:rFonts w:hint="eastAsia" w:ascii="仿宋_GB2312" w:eastAsia="仿宋_GB2312"/>
          <w:bCs/>
          <w:sz w:val="32"/>
          <w:szCs w:val="32"/>
        </w:rPr>
        <w:t>零散小区的天然气入户工程等项目。</w:t>
      </w:r>
      <w:r>
        <w:rPr>
          <w:rFonts w:hint="eastAsia" w:ascii="仿宋_GB2312" w:eastAsia="仿宋_GB2312"/>
          <w:b/>
          <w:bCs w:val="0"/>
          <w:sz w:val="32"/>
          <w:szCs w:val="32"/>
        </w:rPr>
        <w:t>三是</w:t>
      </w:r>
      <w:r>
        <w:rPr>
          <w:rFonts w:hint="eastAsia" w:ascii="仿宋_GB2312" w:eastAsia="仿宋_GB2312"/>
          <w:sz w:val="32"/>
          <w:szCs w:val="32"/>
        </w:rPr>
        <w:t>严把</w:t>
      </w:r>
      <w:r>
        <w:rPr>
          <w:rFonts w:hint="eastAsia" w:ascii="仿宋_GB2312" w:eastAsia="仿宋_GB2312"/>
          <w:sz w:val="32"/>
          <w:szCs w:val="32"/>
          <w:lang w:eastAsia="zh-CN"/>
        </w:rPr>
        <w:t>资格</w:t>
      </w:r>
      <w:r>
        <w:rPr>
          <w:rFonts w:hint="eastAsia" w:ascii="仿宋_GB2312" w:eastAsia="仿宋_GB2312"/>
          <w:sz w:val="32"/>
          <w:szCs w:val="32"/>
        </w:rPr>
        <w:t>审核</w:t>
      </w:r>
      <w:r>
        <w:rPr>
          <w:rFonts w:hint="eastAsia" w:ascii="仿宋_GB2312" w:eastAsia="仿宋_GB2312"/>
          <w:sz w:val="32"/>
          <w:szCs w:val="32"/>
          <w:lang w:eastAsia="zh-CN"/>
        </w:rPr>
        <w:t>。</w:t>
      </w:r>
      <w:r>
        <w:rPr>
          <w:rFonts w:hint="eastAsia" w:ascii="仿宋_GB2312" w:eastAsia="仿宋_GB2312"/>
          <w:sz w:val="32"/>
          <w:szCs w:val="32"/>
        </w:rPr>
        <w:t>进一步健全分配和运营监管机制，确保公租房管理公平、公正。7月份对我中心自主管理的4000</w:t>
      </w:r>
      <w:r>
        <w:rPr>
          <w:rFonts w:hint="eastAsia" w:ascii="仿宋_GB2312" w:eastAsia="仿宋_GB2312"/>
          <w:sz w:val="32"/>
          <w:szCs w:val="32"/>
          <w:lang w:eastAsia="zh-CN"/>
        </w:rPr>
        <w:t>多</w:t>
      </w:r>
      <w:r>
        <w:rPr>
          <w:rFonts w:hint="eastAsia" w:ascii="仿宋_GB2312" w:eastAsia="仿宋_GB2312"/>
          <w:sz w:val="32"/>
          <w:szCs w:val="32"/>
        </w:rPr>
        <w:t>户承租户的保障资格进行了年度资格审核，审查内容包括不动产登记信息、户籍信息、社保信息等</w:t>
      </w:r>
      <w:r>
        <w:rPr>
          <w:rFonts w:hint="eastAsia" w:ascii="仿宋_GB2312" w:eastAsia="仿宋_GB2312"/>
          <w:sz w:val="32"/>
          <w:szCs w:val="32"/>
          <w:lang w:eastAsia="zh-CN"/>
        </w:rPr>
        <w:t>，清退了</w:t>
      </w:r>
      <w:r>
        <w:rPr>
          <w:rFonts w:hint="eastAsia" w:ascii="仿宋_GB2312" w:eastAsia="仿宋_GB2312"/>
          <w:sz w:val="32"/>
          <w:szCs w:val="32"/>
          <w:lang w:val="en-US" w:eastAsia="zh-CN"/>
        </w:rPr>
        <w:t>不符合条件的住户</w:t>
      </w:r>
      <w:r>
        <w:rPr>
          <w:rFonts w:hint="eastAsia" w:ascii="仿宋_GB2312" w:eastAsia="仿宋_GB2312"/>
          <w:sz w:val="32"/>
          <w:szCs w:val="32"/>
        </w:rPr>
        <w:t>；</w:t>
      </w:r>
      <w:r>
        <w:rPr>
          <w:rFonts w:hint="eastAsia" w:ascii="仿宋_GB2312" w:eastAsia="仿宋_GB2312"/>
          <w:sz w:val="32"/>
          <w:szCs w:val="32"/>
          <w:lang w:eastAsia="zh-CN"/>
        </w:rPr>
        <w:t>同时</w:t>
      </w:r>
      <w:r>
        <w:rPr>
          <w:rFonts w:hint="eastAsia" w:ascii="仿宋_GB2312" w:eastAsia="仿宋_GB2312"/>
          <w:sz w:val="32"/>
          <w:szCs w:val="32"/>
        </w:rPr>
        <w:t>采取上门催缴、行政诉讼等方式，</w:t>
      </w:r>
      <w:r>
        <w:rPr>
          <w:rFonts w:hint="eastAsia" w:ascii="仿宋_GB2312" w:eastAsia="仿宋_GB2312"/>
          <w:sz w:val="32"/>
          <w:szCs w:val="32"/>
          <w:lang w:eastAsia="zh-CN"/>
        </w:rPr>
        <w:t>对历年陈欠租金进行追缴</w:t>
      </w:r>
      <w:r>
        <w:rPr>
          <w:rFonts w:hint="eastAsia" w:ascii="仿宋_GB2312" w:eastAsia="仿宋_GB2312"/>
          <w:sz w:val="32"/>
          <w:szCs w:val="32"/>
        </w:rPr>
        <w:t>。</w:t>
      </w:r>
      <w:r>
        <w:rPr>
          <w:rFonts w:hint="eastAsia" w:ascii="仿宋_GB2312" w:eastAsia="仿宋_GB2312"/>
          <w:b/>
          <w:bCs/>
          <w:sz w:val="32"/>
          <w:szCs w:val="32"/>
        </w:rPr>
        <w:t>四是</w:t>
      </w:r>
      <w:r>
        <w:rPr>
          <w:rFonts w:hint="eastAsia" w:ascii="仿宋_GB2312" w:eastAsia="仿宋_GB2312"/>
          <w:sz w:val="32"/>
          <w:szCs w:val="32"/>
          <w:lang w:eastAsia="zh-CN"/>
        </w:rPr>
        <w:t>完善我县公租房信息系统建设。</w:t>
      </w:r>
      <w:r>
        <w:rPr>
          <w:rFonts w:hint="eastAsia" w:ascii="仿宋_GB2312" w:eastAsia="仿宋_GB2312"/>
          <w:sz w:val="32"/>
          <w:szCs w:val="32"/>
          <w:lang w:val="en-US" w:eastAsia="zh-CN"/>
        </w:rPr>
        <w:t>对与</w:t>
      </w:r>
      <w:r>
        <w:rPr>
          <w:rFonts w:hint="eastAsia" w:ascii="仿宋_GB2312" w:eastAsia="仿宋_GB2312"/>
          <w:sz w:val="32"/>
          <w:szCs w:val="32"/>
        </w:rPr>
        <w:t>乡镇人民政府、卫生、教育、林业、园区</w:t>
      </w:r>
      <w:r>
        <w:rPr>
          <w:rFonts w:hint="eastAsia" w:ascii="仿宋_GB2312" w:eastAsia="仿宋_GB2312"/>
          <w:sz w:val="32"/>
          <w:szCs w:val="32"/>
          <w:lang w:eastAsia="zh-CN"/>
        </w:rPr>
        <w:t>合作共建的公租房进行</w:t>
      </w:r>
      <w:r>
        <w:rPr>
          <w:rFonts w:hint="eastAsia" w:ascii="仿宋_GB2312" w:eastAsia="仿宋_GB2312"/>
          <w:sz w:val="32"/>
          <w:szCs w:val="32"/>
        </w:rPr>
        <w:t>房源</w:t>
      </w:r>
      <w:r>
        <w:rPr>
          <w:rFonts w:hint="eastAsia" w:ascii="仿宋_GB2312" w:eastAsia="仿宋_GB2312"/>
          <w:sz w:val="32"/>
          <w:szCs w:val="32"/>
          <w:lang w:eastAsia="zh-CN"/>
        </w:rPr>
        <w:t>信息的</w:t>
      </w:r>
      <w:r>
        <w:rPr>
          <w:rFonts w:hint="eastAsia" w:ascii="仿宋_GB2312" w:eastAsia="仿宋_GB2312"/>
          <w:sz w:val="32"/>
          <w:szCs w:val="32"/>
        </w:rPr>
        <w:t>录入</w:t>
      </w:r>
      <w:r>
        <w:rPr>
          <w:rFonts w:hint="eastAsia" w:ascii="仿宋_GB2312" w:eastAsia="仿宋_GB2312"/>
          <w:sz w:val="32"/>
          <w:szCs w:val="32"/>
          <w:lang w:eastAsia="zh-CN"/>
        </w:rPr>
        <w:t>、</w:t>
      </w:r>
      <w:r>
        <w:rPr>
          <w:rFonts w:hint="eastAsia" w:ascii="仿宋_GB2312" w:eastAsia="仿宋_GB2312"/>
          <w:sz w:val="32"/>
          <w:szCs w:val="32"/>
        </w:rPr>
        <w:t>系统配租</w:t>
      </w:r>
      <w:r>
        <w:rPr>
          <w:rFonts w:hint="eastAsia" w:ascii="仿宋_GB2312" w:eastAsia="仿宋_GB2312"/>
          <w:sz w:val="32"/>
          <w:szCs w:val="32"/>
          <w:lang w:eastAsia="zh-CN"/>
        </w:rPr>
        <w:t>，</w:t>
      </w:r>
      <w:r>
        <w:rPr>
          <w:rFonts w:hint="eastAsia" w:ascii="仿宋_GB2312" w:eastAsia="仿宋_GB2312"/>
          <w:sz w:val="32"/>
          <w:szCs w:val="32"/>
          <w:lang w:val="en-US" w:eastAsia="zh-CN"/>
        </w:rPr>
        <w:t>将</w:t>
      </w:r>
      <w:r>
        <w:rPr>
          <w:rFonts w:hint="eastAsia" w:ascii="仿宋_GB2312" w:eastAsia="仿宋_GB2312"/>
          <w:sz w:val="32"/>
          <w:szCs w:val="32"/>
          <w:lang w:eastAsia="zh-CN"/>
        </w:rPr>
        <w:t>全县公租房</w:t>
      </w:r>
      <w:r>
        <w:rPr>
          <w:rFonts w:hint="eastAsia" w:ascii="仿宋_GB2312" w:eastAsia="仿宋_GB2312"/>
          <w:sz w:val="32"/>
          <w:szCs w:val="32"/>
          <w:lang w:val="en-US" w:eastAsia="zh-CN"/>
        </w:rPr>
        <w:t>纳入</w:t>
      </w:r>
      <w:r>
        <w:rPr>
          <w:rFonts w:hint="eastAsia" w:ascii="仿宋_GB2312" w:eastAsia="仿宋_GB2312"/>
          <w:sz w:val="32"/>
          <w:szCs w:val="32"/>
          <w:lang w:eastAsia="zh-CN"/>
        </w:rPr>
        <w:t>数字化管理</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after="0" w:line="594"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val="0"/>
          <w:sz w:val="32"/>
          <w:szCs w:val="32"/>
        </w:rPr>
        <w:t>（二）</w:t>
      </w:r>
      <w:r>
        <w:rPr>
          <w:rFonts w:hint="eastAsia" w:ascii="楷体" w:hAnsi="楷体" w:eastAsia="楷体" w:cs="楷体"/>
          <w:b/>
          <w:bCs w:val="0"/>
          <w:sz w:val="32"/>
          <w:szCs w:val="32"/>
          <w:lang w:eastAsia="zh-CN"/>
        </w:rPr>
        <w:t>持续加压奋进，着</w:t>
      </w:r>
      <w:r>
        <w:rPr>
          <w:rFonts w:hint="eastAsia" w:ascii="楷体" w:hAnsi="楷体" w:eastAsia="楷体" w:cs="楷体"/>
          <w:b/>
          <w:bCs w:val="0"/>
          <w:sz w:val="32"/>
          <w:szCs w:val="32"/>
        </w:rPr>
        <w:t>力推进棚户区改造。</w:t>
      </w:r>
      <w:r>
        <w:rPr>
          <w:rFonts w:hint="eastAsia" w:ascii="仿宋_GB2312" w:hAnsi="仿宋_GB2312" w:eastAsia="仿宋_GB2312" w:cs="仿宋_GB2312"/>
          <w:sz w:val="32"/>
          <w:szCs w:val="32"/>
        </w:rPr>
        <w:t>按照县委、县政府的统筹安排，抓开工、促进度、保质量、重实效，全力实施棚户区改造项目。</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有序推进</w:t>
      </w:r>
      <w:r>
        <w:rPr>
          <w:rFonts w:hint="eastAsia" w:ascii="仿宋_GB2312" w:hAnsi="仿宋_GB2312" w:eastAsia="仿宋_GB2312" w:cs="仿宋_GB2312"/>
          <w:sz w:val="32"/>
          <w:szCs w:val="32"/>
          <w:lang w:val="en-US" w:eastAsia="zh-CN"/>
        </w:rPr>
        <w:t>重点</w:t>
      </w:r>
      <w:r>
        <w:rPr>
          <w:rFonts w:hint="eastAsia" w:ascii="仿宋_GB2312" w:hAnsi="仿宋_GB2312" w:eastAsia="仿宋_GB2312" w:cs="仿宋_GB2312"/>
          <w:sz w:val="32"/>
          <w:szCs w:val="32"/>
        </w:rPr>
        <w:t>棚改项目。育英巷东片区城市棚改项目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征地面积73亩，300户安置户，产权安置面积30286平方米，2020年7月启动征拆，土地已于</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7月挂牌成交；红星机械厂80户征收补偿协议已全部签订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征地面积4.3亩，62户安置户，产权安置面积4203平方米，2021年9月启动征拆，目前经县政府研究决定，由县城投集团受让项目成本；原畜牧局片区征地面积4.59亩，28户安置户，产权安置面积4070平方米，2019年8月启动征拆，尚有一户未完成征拆，目前已通过县规划例会同意分地块分期出让土地；团山路片区棚改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征地面积83.7亩，330户安置户，产权安置面积38550平方米，2018年6月启动征拆，尚余20户未完成征拆，170余支坟未迁移。目前经报县政府相关领导，拟分地块分期出让土地，争取12月底将地块一约40亩完成征拆交地挂牌。美人窝路片区地块二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征地面积29.89亩， 61户安置户，产权安置面积13570平方米，2019年3月启动征拆，目前土地已于</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7月挂牌成交。</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全力推进居士巷棚改项目落实落地。居士巷片区棚改项目预算投入3500余万元，项目共分三期实施。目前已完成一期建设，完成了对54栋老旧房屋的建筑立面装饰装修，600余米道路铺张及沿街供水、供电、燃气和通迅线路的入地改造，提升了老旧街道整体形象。二期为戏台坪至桃花路口140余米，目前已完成招投标，准备明年正月动工，上半年完工。三期为配套设施建设，对居士巷片区近30000平方米的区域进行亮化、绿化、文化工程建设，正在进行财评招投标程序，准备一期配套老历年底完工，二期配套明年上半年完工。</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谋划、启动弄溪桥片区棚改项目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这是目前为止我县最大的片区棚改项目，总面积86.28亩，627户拆迁户，安置面积8万多平方米，需投入征拆资金6.4亿元。</w:t>
      </w:r>
    </w:p>
    <w:p>
      <w:pPr>
        <w:keepNext w:val="0"/>
        <w:keepLines w:val="0"/>
        <w:pageBreakBefore w:val="0"/>
        <w:kinsoku/>
        <w:wordWrap/>
        <w:overflowPunct/>
        <w:topLinePunct w:val="0"/>
        <w:autoSpaceDE/>
        <w:autoSpaceDN/>
        <w:bidi w:val="0"/>
        <w:spacing w:after="0" w:line="594"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楷体" w:hAnsi="楷体" w:eastAsia="楷体" w:cs="楷体"/>
          <w:b/>
          <w:bCs/>
          <w:sz w:val="32"/>
          <w:szCs w:val="32"/>
        </w:rPr>
        <w:t>（三）</w:t>
      </w:r>
      <w:r>
        <w:rPr>
          <w:rFonts w:hint="eastAsia" w:ascii="楷体" w:hAnsi="楷体" w:eastAsia="楷体" w:cs="楷体"/>
          <w:b/>
          <w:bCs/>
          <w:sz w:val="32"/>
          <w:szCs w:val="32"/>
          <w:lang w:eastAsia="zh-CN"/>
        </w:rPr>
        <w:t>坚持统筹兼顾，全面完成各项基础工作</w:t>
      </w:r>
      <w:r>
        <w:rPr>
          <w:rFonts w:hint="eastAsia" w:ascii="楷体" w:hAnsi="楷体" w:eastAsia="楷体" w:cs="楷体"/>
          <w:sz w:val="32"/>
          <w:szCs w:val="32"/>
        </w:rPr>
        <w:t>。</w:t>
      </w:r>
      <w:r>
        <w:rPr>
          <w:rFonts w:hint="eastAsia" w:ascii="仿宋_GB2312" w:hAnsi="仿宋_GB2312" w:eastAsia="仿宋_GB2312" w:cs="仿宋_GB2312"/>
          <w:sz w:val="32"/>
          <w:szCs w:val="32"/>
          <w:lang w:eastAsia="zh-CN"/>
        </w:rPr>
        <w:t>在狠抓中心业务工作的同时，其他各项基础工作，确保两手抓、两不误、两促进。齐头并进。</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超额完成立项争资任务。今年县委县政府下达我中心立项争资任务为1000万元，目前中央、省级下拨专项资金3272万元，棚改配套资金1544万元，发行棚改专项债券3.32亿元，为县域经济发展争取了大量资金。</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深入开展党史学习教育</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r>
        <w:rPr>
          <w:rFonts w:hint="eastAsia" w:ascii="仿宋_GB2312" w:hAnsi="Helvetica" w:eastAsia="仿宋_GB2312" w:cs="Helvetica"/>
          <w:color w:val="333333"/>
          <w:sz w:val="32"/>
          <w:szCs w:val="32"/>
        </w:rPr>
        <w:t>成立了领导小组和工作机构，研究制定学习方案，通过在</w:t>
      </w:r>
      <w:r>
        <w:rPr>
          <w:rFonts w:hint="eastAsia" w:ascii="仿宋_GB2312" w:hAnsi="仿宋_GB2312" w:eastAsia="仿宋_GB2312" w:cs="仿宋_GB2312"/>
          <w:sz w:val="32"/>
          <w:szCs w:val="32"/>
        </w:rPr>
        <w:t>县档案馆、马迹塘战史陈列馆等红色资源地进行现场教学，邀请专家授课、实时讲解</w:t>
      </w:r>
      <w:r>
        <w:rPr>
          <w:rFonts w:hint="eastAsia" w:ascii="仿宋_GB2312" w:hAnsi="Helvetica" w:eastAsia="仿宋_GB2312" w:cs="Helvetica"/>
          <w:color w:val="333333"/>
          <w:sz w:val="32"/>
          <w:szCs w:val="32"/>
        </w:rPr>
        <w:t>，集中开展党史专题学习研讨、撰写学习心得等方式，以上率下，带领全中心上下紧紧围绕学党史、悟思想、办实事、开新局深入开展学习，切实提升了学习实效，引导广大党员干部知史爱党、知史爱国，激发干事创业的动力，为住房保障事业的发展提供坚强的政治和组织保证。</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lang w:eastAsia="zh-CN"/>
        </w:rPr>
        <w:t>严密落实</w:t>
      </w:r>
      <w:r>
        <w:rPr>
          <w:rFonts w:hint="eastAsia" w:ascii="仿宋_GB2312" w:hAnsi="仿宋_GB2312" w:eastAsia="仿宋_GB2312" w:cs="仿宋_GB2312"/>
          <w:sz w:val="32"/>
          <w:szCs w:val="32"/>
        </w:rPr>
        <w:t>疫情防控。</w:t>
      </w:r>
      <w:r>
        <w:rPr>
          <w:rFonts w:hint="eastAsia" w:ascii="仿宋_GB2312" w:hAnsi="仿宋_GB2312" w:eastAsia="仿宋_GB2312" w:cs="仿宋_GB2312"/>
          <w:sz w:val="32"/>
          <w:szCs w:val="32"/>
          <w:lang w:eastAsia="zh-CN"/>
        </w:rPr>
        <w:t>对标对表</w:t>
      </w:r>
      <w:r>
        <w:rPr>
          <w:rFonts w:hint="eastAsia" w:ascii="仿宋_GB2312" w:hAnsi="仿宋_GB2312" w:eastAsia="仿宋_GB2312" w:cs="仿宋_GB2312"/>
          <w:sz w:val="32"/>
          <w:szCs w:val="32"/>
        </w:rPr>
        <w:t>县委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政府疫情防控要求，周密部署安排，坚持预防为主，实施网格化、地毯式管理，一方面通过悬挂横幅、发放宣传手册等方式，加强疫情防控知识宣传，另一方面充分调动志愿者、工作人员、物业企业的积极性，强化监督检查，</w:t>
      </w:r>
      <w:r>
        <w:rPr>
          <w:rFonts w:hint="eastAsia" w:ascii="仿宋_GB2312" w:hAnsi="仿宋_GB2312" w:eastAsia="仿宋_GB2312" w:cs="仿宋_GB2312"/>
          <w:sz w:val="32"/>
          <w:szCs w:val="32"/>
          <w:lang w:eastAsia="zh-CN"/>
        </w:rPr>
        <w:t>采取中心干部、大学生志愿者、消毒消杀、滚动式宣传相结合的抗疫模式，</w:t>
      </w:r>
      <w:r>
        <w:rPr>
          <w:rFonts w:hint="eastAsia" w:ascii="仿宋_GB2312" w:hAnsi="仿宋_GB2312" w:eastAsia="仿宋_GB2312" w:cs="仿宋_GB2312"/>
          <w:sz w:val="32"/>
          <w:szCs w:val="32"/>
        </w:rPr>
        <w:t>在保障房小区严防死守，做到“早预防、早发现、早报告、早隔离、早处置”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确保了保障房小区人民生命财产安全</w:t>
      </w:r>
      <w:r>
        <w:rPr>
          <w:rFonts w:hint="eastAsia" w:ascii="仿宋_GB2312" w:hAnsi="仿宋_GB2312" w:eastAsia="仿宋_GB2312" w:cs="仿宋_GB2312"/>
          <w:sz w:val="32"/>
          <w:szCs w:val="32"/>
          <w:lang w:eastAsia="zh-CN"/>
        </w:rPr>
        <w:t>，该抗疫模式得到省住保处高度肯定，并命以“桃江模式”向全省推广，得到了各级各部门高度评价</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lang w:eastAsia="zh-CN"/>
        </w:rPr>
        <w:t>积极转变</w:t>
      </w:r>
      <w:r>
        <w:rPr>
          <w:rFonts w:hint="eastAsia" w:ascii="仿宋_GB2312" w:hAnsi="仿宋_GB2312" w:eastAsia="仿宋_GB2312" w:cs="仿宋_GB2312"/>
          <w:sz w:val="32"/>
          <w:szCs w:val="32"/>
        </w:rPr>
        <w:t>工作作风。制定了中心关于“转作风、优环境，共建清廉桃江”活动实施方案，及时召开动员部署会，明确了领导班子的主体责任与整治方向，开展</w:t>
      </w:r>
      <w:r>
        <w:rPr>
          <w:rFonts w:hint="eastAsia" w:ascii="仿宋_GB2312" w:hAnsi="仿宋_GB2312" w:eastAsia="仿宋_GB2312" w:cs="仿宋_GB2312"/>
          <w:sz w:val="32"/>
          <w:szCs w:val="32"/>
          <w:lang w:eastAsia="zh-CN"/>
        </w:rPr>
        <w:t>整治活动</w:t>
      </w:r>
      <w:r>
        <w:rPr>
          <w:rFonts w:hint="eastAsia" w:ascii="仿宋_GB2312" w:hAnsi="仿宋_GB2312" w:eastAsia="仿宋_GB2312" w:cs="仿宋_GB2312"/>
          <w:sz w:val="32"/>
          <w:szCs w:val="32"/>
        </w:rPr>
        <w:t>，重点</w:t>
      </w:r>
      <w:r>
        <w:rPr>
          <w:rFonts w:hint="eastAsia" w:ascii="仿宋_GB2312" w:hAnsi="仿宋_GB2312" w:eastAsia="仿宋_GB2312" w:cs="仿宋_GB2312"/>
          <w:sz w:val="32"/>
          <w:szCs w:val="32"/>
          <w:lang w:eastAsia="zh-CN"/>
        </w:rPr>
        <w:t>查摆</w:t>
      </w:r>
      <w:r>
        <w:rPr>
          <w:rFonts w:hint="eastAsia" w:ascii="仿宋_GB2312" w:hAnsi="仿宋_GB2312" w:eastAsia="仿宋_GB2312" w:cs="仿宋_GB2312"/>
          <w:sz w:val="32"/>
          <w:szCs w:val="32"/>
        </w:rPr>
        <w:t>党员干部作风不正、工作不实、服务不优，有令不行、有禁不止、以权谋私等突出问题，进一步增强了中心工作人员服务意识、大局观与责任感，提升了服务效能。</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lang w:eastAsia="zh-CN"/>
        </w:rPr>
        <w:t>稳步推进</w:t>
      </w:r>
      <w:r>
        <w:rPr>
          <w:rFonts w:hint="eastAsia" w:ascii="仿宋_GB2312" w:hAnsi="仿宋_GB2312" w:eastAsia="仿宋_GB2312" w:cs="仿宋_GB2312"/>
          <w:sz w:val="32"/>
          <w:szCs w:val="32"/>
        </w:rPr>
        <w:t>创建工作。中心立足于创建整洁、文明的工作生活环境，坚持不懈地抓好环境卫生综合整治。一方面坚持做好城市保洁和管理工作。按月组织干部群众对包路段、保障房小区</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集中整治，</w:t>
      </w:r>
      <w:r>
        <w:rPr>
          <w:rFonts w:hint="eastAsia" w:ascii="仿宋_GB2312" w:hAnsi="仿宋_GB2312" w:eastAsia="仿宋_GB2312" w:cs="仿宋_GB2312"/>
          <w:sz w:val="32"/>
          <w:szCs w:val="32"/>
          <w:lang w:eastAsia="zh-CN"/>
        </w:rPr>
        <w:t>出动</w:t>
      </w:r>
      <w:r>
        <w:rPr>
          <w:rFonts w:hint="eastAsia" w:ascii="仿宋_GB2312" w:hAnsi="仿宋_GB2312" w:eastAsia="仿宋_GB2312" w:cs="仿宋_GB2312"/>
          <w:sz w:val="32"/>
          <w:szCs w:val="32"/>
          <w:lang w:val="en-US" w:eastAsia="zh-CN"/>
        </w:rPr>
        <w:t>200余人次，</w:t>
      </w:r>
      <w:r>
        <w:rPr>
          <w:rFonts w:hint="eastAsia" w:ascii="仿宋_GB2312" w:hAnsi="仿宋_GB2312" w:eastAsia="仿宋_GB2312" w:cs="仿宋_GB2312"/>
          <w:sz w:val="32"/>
          <w:szCs w:val="32"/>
        </w:rPr>
        <w:t>清理卫生死角，强化巡视巡察，加强对沿街居民、商户、小区住户的教育、管理，杜绝</w:t>
      </w:r>
      <w:r>
        <w:rPr>
          <w:rFonts w:hint="eastAsia" w:ascii="仿宋_GB2312" w:hAnsi="仿宋_GB2312" w:eastAsia="仿宋_GB2312" w:cs="仿宋_GB2312"/>
          <w:sz w:val="32"/>
          <w:szCs w:val="32"/>
          <w:lang w:eastAsia="zh-CN"/>
        </w:rPr>
        <w:t>出现</w:t>
      </w:r>
      <w:r>
        <w:rPr>
          <w:rFonts w:hint="eastAsia" w:ascii="仿宋_GB2312" w:hAnsi="仿宋_GB2312" w:eastAsia="仿宋_GB2312" w:cs="仿宋_GB2312"/>
          <w:sz w:val="32"/>
          <w:szCs w:val="32"/>
        </w:rPr>
        <w:t>乱泼乱倒、乱贴乱画、随意倾倒建筑垃圾的现象。另一方面抓规范养成，积极开展“创建文明城市，争当文明市民”“告别陋习树新风、走向文明见行动”等宣传活动，引导广大居民树立文明、健康、科学的生活方式，养成良好的生活习惯，形成以“职能部门为基础，居民群众为主体，社区单位共同参与”的文明创建新格局。</w:t>
      </w:r>
      <w:r>
        <w:rPr>
          <w:rFonts w:hint="eastAsia" w:ascii="仿宋_GB2312" w:hAnsi="仿宋_GB2312" w:eastAsia="仿宋_GB2312" w:cs="仿宋_GB2312"/>
          <w:sz w:val="32"/>
          <w:szCs w:val="32"/>
          <w:lang w:eastAsia="zh-CN"/>
        </w:rPr>
        <w:t>中心创建工作在半年度检查评比中获得了一等奖。</w:t>
      </w:r>
    </w:p>
    <w:p>
      <w:pPr>
        <w:keepNext w:val="0"/>
        <w:keepLines w:val="0"/>
        <w:pageBreakBefore w:val="0"/>
        <w:kinsoku/>
        <w:wordWrap/>
        <w:overflowPunct/>
        <w:topLinePunct w:val="0"/>
        <w:autoSpaceDE/>
        <w:autoSpaceDN/>
        <w:bidi w:val="0"/>
        <w:spacing w:after="0" w:line="594" w:lineRule="exact"/>
        <w:ind w:firstLine="643" w:firstLineChars="200"/>
        <w:jc w:val="both"/>
        <w:textAlignment w:val="auto"/>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（四）</w:t>
      </w:r>
      <w:r>
        <w:rPr>
          <w:rFonts w:hint="eastAsia" w:ascii="楷体_GB2312" w:hAnsi="仿宋_GB2312" w:eastAsia="楷体_GB2312" w:cs="仿宋_GB2312"/>
          <w:b/>
          <w:bCs/>
          <w:sz w:val="32"/>
          <w:szCs w:val="32"/>
          <w:lang w:eastAsia="zh-CN"/>
        </w:rPr>
        <w:t>坚持党建引领，全面强化自身建设</w:t>
      </w:r>
      <w:r>
        <w:rPr>
          <w:rFonts w:hint="eastAsia" w:ascii="楷体_GB2312" w:hAnsi="仿宋_GB2312" w:eastAsia="楷体_GB2312" w:cs="仿宋_GB2312"/>
          <w:b/>
          <w:bCs/>
          <w:sz w:val="32"/>
          <w:szCs w:val="32"/>
        </w:rPr>
        <w:t>。</w:t>
      </w:r>
    </w:p>
    <w:p>
      <w:pPr>
        <w:keepNext w:val="0"/>
        <w:keepLines w:val="0"/>
        <w:pageBreakBefore w:val="0"/>
        <w:kinsoku/>
        <w:wordWrap/>
        <w:overflowPunct/>
        <w:topLinePunct w:val="0"/>
        <w:autoSpaceDE/>
        <w:autoSpaceDN/>
        <w:bidi w:val="0"/>
        <w:spacing w:after="0" w:line="594"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1.强化基层党建</w:t>
      </w:r>
      <w:r>
        <w:rPr>
          <w:rFonts w:hint="eastAsia" w:ascii="仿宋_GB2312" w:hAnsi="仿宋_GB2312" w:eastAsia="仿宋_GB2312" w:cs="仿宋_GB2312"/>
          <w:b/>
          <w:sz w:val="32"/>
          <w:szCs w:val="32"/>
          <w:lang w:val="en-US" w:eastAsia="zh-CN"/>
        </w:rPr>
        <w:t>工作</w:t>
      </w:r>
      <w:r>
        <w:rPr>
          <w:rFonts w:hint="eastAsia" w:ascii="仿宋_GB2312" w:hAnsi="仿宋_GB2312" w:eastAsia="仿宋_GB2312" w:cs="仿宋_GB2312"/>
          <w:b/>
          <w:sz w:val="32"/>
          <w:szCs w:val="32"/>
        </w:rPr>
        <w:t>。</w:t>
      </w:r>
      <w:r>
        <w:rPr>
          <w:rFonts w:hint="eastAsia" w:ascii="仿宋_GB2312" w:hAnsi="仿宋_GB2312" w:eastAsia="仿宋_GB2312" w:cs="仿宋_GB2312"/>
          <w:b/>
          <w:bCs w:val="0"/>
          <w:sz w:val="32"/>
          <w:szCs w:val="32"/>
        </w:rPr>
        <w:t>一是</w:t>
      </w:r>
      <w:r>
        <w:rPr>
          <w:rFonts w:hint="eastAsia" w:ascii="仿宋_GB2312" w:hAnsi="仿宋_GB2312" w:eastAsia="仿宋_GB2312" w:cs="仿宋_GB2312"/>
          <w:bCs/>
          <w:sz w:val="32"/>
          <w:szCs w:val="32"/>
        </w:rPr>
        <w:t>中心党组及各单位负责人</w:t>
      </w:r>
      <w:r>
        <w:rPr>
          <w:rFonts w:hint="eastAsia" w:ascii="仿宋_GB2312" w:hAnsi="仿宋_GB2312" w:eastAsia="仿宋_GB2312" w:cs="仿宋_GB2312"/>
          <w:sz w:val="32"/>
          <w:szCs w:val="32"/>
        </w:rPr>
        <w:t>主动履行主体责任，身体力行抓党建，全面落实一把手抓基层党建工作要求。</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落实保障措施，夯实基础抓党建，深入开展党史学习教育工作，认真落实“四个专题”学习和习近平总书记“七一”讲话精神。</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创新工作载体，强化作风抓党建，进一步加强了干部队伍建设和作风建设，打造出纪律严明、务实担当、廉洁奉献的干部</w:t>
      </w:r>
      <w:r>
        <w:rPr>
          <w:rFonts w:hint="eastAsia" w:ascii="仿宋_GB2312" w:hAnsi="仿宋_GB2312" w:eastAsia="仿宋_GB2312" w:cs="仿宋_GB2312"/>
          <w:sz w:val="32"/>
          <w:szCs w:val="32"/>
          <w:lang w:eastAsia="zh-CN"/>
        </w:rPr>
        <w:t>队伍，发展了一名预备党员</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after="0" w:line="594"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2.强化全面从严治党。</w:t>
      </w:r>
      <w:r>
        <w:rPr>
          <w:rFonts w:hint="eastAsia" w:ascii="仿宋_GB2312" w:hAnsi="仿宋_GB2312" w:eastAsia="仿宋_GB2312" w:cs="仿宋_GB2312"/>
          <w:sz w:val="32"/>
          <w:szCs w:val="32"/>
        </w:rPr>
        <w:t>深入学习贯彻习近平总书记系列重要讲话精神，用习近平新时代中国特色社会主义思想武装头脑、指导实践、推动工作，切实加强理想信念和党性修养教育，</w:t>
      </w:r>
      <w:r>
        <w:rPr>
          <w:rFonts w:ascii="仿宋_GB2312" w:hAnsi="仿宋_GB2312" w:eastAsia="仿宋_GB2312" w:cs="仿宋_GB2312"/>
          <w:sz w:val="32"/>
          <w:szCs w:val="32"/>
        </w:rPr>
        <w:t>深入推进学习型党</w:t>
      </w:r>
      <w:r>
        <w:rPr>
          <w:rFonts w:hint="eastAsia" w:ascii="仿宋_GB2312" w:hAnsi="仿宋_GB2312" w:eastAsia="仿宋_GB2312" w:cs="仿宋_GB2312"/>
          <w:sz w:val="32"/>
          <w:szCs w:val="32"/>
        </w:rPr>
        <w:t>组</w:t>
      </w:r>
      <w:r>
        <w:rPr>
          <w:rFonts w:ascii="仿宋_GB2312" w:hAnsi="仿宋_GB2312" w:eastAsia="仿宋_GB2312" w:cs="仿宋_GB2312"/>
          <w:sz w:val="32"/>
          <w:szCs w:val="32"/>
        </w:rPr>
        <w:t>、学习型班子、学习型机关建设</w:t>
      </w:r>
      <w:r>
        <w:rPr>
          <w:rFonts w:hint="eastAsia" w:ascii="仿宋_GB2312" w:hAnsi="仿宋_GB2312" w:eastAsia="仿宋_GB2312" w:cs="仿宋_GB2312"/>
          <w:sz w:val="32"/>
          <w:szCs w:val="32"/>
        </w:rPr>
        <w:t>。认真落实全面从严治党主体责任，加强干部职工的预防教育，用好“四种形态”，加强对落实“两个责任”的监督检查，强化问责，以严肃问责倒逼“两个责任”落实。</w:t>
      </w:r>
    </w:p>
    <w:p>
      <w:pPr>
        <w:keepNext w:val="0"/>
        <w:keepLines w:val="0"/>
        <w:pageBreakBefore w:val="0"/>
        <w:kinsoku/>
        <w:wordWrap/>
        <w:overflowPunct/>
        <w:topLinePunct w:val="0"/>
        <w:autoSpaceDE/>
        <w:autoSpaceDN/>
        <w:bidi w:val="0"/>
        <w:spacing w:after="0" w:line="594"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3.强化意识形态</w:t>
      </w:r>
      <w:r>
        <w:rPr>
          <w:rFonts w:hint="eastAsia" w:ascii="仿宋_GB2312" w:hAnsi="仿宋_GB2312" w:eastAsia="仿宋_GB2312" w:cs="仿宋_GB2312"/>
          <w:b/>
          <w:sz w:val="32"/>
          <w:szCs w:val="32"/>
          <w:lang w:eastAsia="zh-CN"/>
        </w:rPr>
        <w:t>工作</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坚持把思想建党放在首位，</w:t>
      </w:r>
      <w:r>
        <w:rPr>
          <w:rFonts w:ascii="仿宋_GB2312" w:hAnsi="仿宋_GB2312" w:eastAsia="仿宋_GB2312" w:cs="仿宋_GB2312"/>
          <w:b/>
          <w:bCs/>
          <w:sz w:val="32"/>
          <w:szCs w:val="32"/>
        </w:rPr>
        <w:t>一是</w:t>
      </w:r>
      <w:r>
        <w:rPr>
          <w:rFonts w:ascii="仿宋_GB2312" w:hAnsi="仿宋_GB2312" w:eastAsia="仿宋_GB2312" w:cs="仿宋_GB2312"/>
          <w:sz w:val="32"/>
          <w:szCs w:val="32"/>
        </w:rPr>
        <w:t>突出领导带头，抓实政治领航。</w:t>
      </w:r>
      <w:r>
        <w:rPr>
          <w:rFonts w:hint="eastAsia" w:ascii="仿宋_GB2312" w:hAnsi="仿宋_GB2312" w:eastAsia="仿宋_GB2312" w:cs="仿宋_GB2312"/>
          <w:sz w:val="32"/>
          <w:szCs w:val="32"/>
        </w:rPr>
        <w:t>做到中心领导班子</w:t>
      </w:r>
      <w:r>
        <w:rPr>
          <w:rFonts w:ascii="仿宋_GB2312" w:hAnsi="仿宋_GB2312" w:eastAsia="仿宋_GB2312" w:cs="仿宋_GB2312"/>
          <w:sz w:val="32"/>
          <w:szCs w:val="32"/>
        </w:rPr>
        <w:t>带头抓意识形态工作、带头管阵地把导向强队伍、带头批评错误观点和错误倾向</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二是</w:t>
      </w:r>
      <w:r>
        <w:rPr>
          <w:rFonts w:ascii="仿宋_GB2312" w:hAnsi="仿宋_GB2312" w:eastAsia="仿宋_GB2312" w:cs="仿宋_GB2312"/>
          <w:sz w:val="32"/>
          <w:szCs w:val="32"/>
        </w:rPr>
        <w:t>突出凝聚共识，抓实宣传阐释</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深入挖掘和大力宣传先进典型和感人事迹，弘扬正能量，传递好声音，展现新形象。把网络舆情工作作为重中之重，推进舆论焦点、热点、隐患点排查化解常态化，牢牢把握宣传思想工作话语权</w:t>
      </w:r>
      <w:r>
        <w:rPr>
          <w:rFonts w:hint="eastAsia" w:ascii="仿宋_GB2312" w:hAnsi="仿宋_GB2312" w:eastAsia="仿宋_GB2312" w:cs="仿宋_GB2312"/>
          <w:sz w:val="32"/>
          <w:szCs w:val="32"/>
        </w:rPr>
        <w:t>，各类上稿、信息报道30余篇，网上跟评、跟贴200余条</w:t>
      </w:r>
      <w:r>
        <w:rPr>
          <w:rFonts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after="0" w:line="594"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sz w:val="32"/>
          <w:szCs w:val="32"/>
        </w:rPr>
        <w:t>4.强化综治平安工作。</w:t>
      </w:r>
      <w:r>
        <w:rPr>
          <w:rFonts w:hint="eastAsia" w:ascii="仿宋_GB2312" w:hAnsi="仿宋_GB2312" w:eastAsia="仿宋_GB2312" w:cs="仿宋_GB2312"/>
          <w:sz w:val="32"/>
          <w:szCs w:val="32"/>
        </w:rPr>
        <w:t>实施了领导包案责任制，进一步完善各类信访维稳方案，积极开展矛盾纠纷排查，高度重视各类信访件的回复处置，做到了信访维稳苗头发现早、控制住、处理好，全年共计处理信访、热线件80余件</w:t>
      </w:r>
      <w:r>
        <w:rPr>
          <w:rFonts w:hint="eastAsia" w:ascii="仿宋_GB2312" w:hAnsi="仿宋_GB2312" w:eastAsia="仿宋_GB2312" w:cs="仿宋_GB2312"/>
          <w:sz w:val="32"/>
          <w:szCs w:val="32"/>
          <w:lang w:eastAsia="zh-CN"/>
        </w:rPr>
        <w:t>，杜绝越级上访、赴京上访情况</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after="0" w:line="594"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5.强化安全生产工作。</w:t>
      </w:r>
      <w:r>
        <w:rPr>
          <w:rFonts w:hint="eastAsia" w:ascii="仿宋_GB2312" w:hAnsi="仿宋_GB2312" w:eastAsia="仿宋_GB2312" w:cs="仿宋_GB2312"/>
          <w:sz w:val="32"/>
          <w:szCs w:val="32"/>
        </w:rPr>
        <w:t>严格落实安全生产责任制</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层层压实责任</w:t>
      </w:r>
      <w:r>
        <w:rPr>
          <w:rFonts w:hint="eastAsia" w:ascii="仿宋_GB2312" w:hAnsi="仿宋_GB2312" w:eastAsia="仿宋_GB2312" w:cs="仿宋_GB2312"/>
          <w:bCs/>
          <w:sz w:val="32"/>
          <w:szCs w:val="32"/>
        </w:rPr>
        <w:t>，责任到人，履责务严，有责必问，</w:t>
      </w:r>
      <w:r>
        <w:rPr>
          <w:rFonts w:hint="eastAsia" w:ascii="仿宋_GB2312" w:hAnsi="仿宋_GB2312" w:eastAsia="仿宋_GB2312" w:cs="仿宋_GB2312"/>
          <w:sz w:val="32"/>
          <w:szCs w:val="32"/>
        </w:rPr>
        <w:t>与机关各股室、各二级机构签订安全生产责任状，明确</w:t>
      </w:r>
      <w:r>
        <w:rPr>
          <w:rFonts w:ascii="仿宋_GB2312" w:hAnsi="仿宋_GB2312" w:eastAsia="仿宋_GB2312" w:cs="仿宋_GB2312"/>
          <w:sz w:val="32"/>
          <w:szCs w:val="32"/>
        </w:rPr>
        <w:t>各单位的主要负责人</w:t>
      </w:r>
      <w:r>
        <w:rPr>
          <w:rFonts w:hint="eastAsia" w:ascii="仿宋_GB2312" w:hAnsi="仿宋_GB2312" w:eastAsia="仿宋_GB2312" w:cs="仿宋_GB2312"/>
          <w:sz w:val="32"/>
          <w:szCs w:val="32"/>
        </w:rPr>
        <w:t>为</w:t>
      </w:r>
      <w:r>
        <w:rPr>
          <w:rFonts w:ascii="仿宋_GB2312" w:hAnsi="仿宋_GB2312" w:eastAsia="仿宋_GB2312" w:cs="仿宋_GB2312"/>
          <w:sz w:val="32"/>
          <w:szCs w:val="32"/>
        </w:rPr>
        <w:t>第一责任人，对本单位所管辖领域的安全工作全面负责。结合本单位实际</w:t>
      </w:r>
      <w:r>
        <w:rPr>
          <w:rFonts w:hint="eastAsia" w:ascii="仿宋_GB2312" w:hAnsi="仿宋_GB2312" w:eastAsia="仿宋_GB2312" w:cs="仿宋_GB2312"/>
          <w:sz w:val="32"/>
          <w:szCs w:val="32"/>
        </w:rPr>
        <w:t>不定期对保障房小区、直管公房的安全设施设备进行巡查，排查、整改安全隐患，</w:t>
      </w:r>
      <w:r>
        <w:rPr>
          <w:rFonts w:ascii="仿宋_GB2312" w:hAnsi="仿宋_GB2312" w:eastAsia="仿宋_GB2312" w:cs="仿宋_GB2312"/>
          <w:sz w:val="32"/>
          <w:szCs w:val="32"/>
        </w:rPr>
        <w:t>做到</w:t>
      </w:r>
      <w:r>
        <w:rPr>
          <w:rFonts w:hint="eastAsia" w:ascii="仿宋_GB2312" w:hAnsi="仿宋_GB2312" w:eastAsia="仿宋_GB2312" w:cs="仿宋_GB2312"/>
          <w:sz w:val="32"/>
          <w:szCs w:val="32"/>
        </w:rPr>
        <w:t>防范于未然</w:t>
      </w:r>
      <w:r>
        <w:rPr>
          <w:rFonts w:ascii="仿宋_GB2312" w:hAnsi="仿宋_GB2312" w:eastAsia="仿宋_GB2312" w:cs="仿宋_GB2312"/>
          <w:sz w:val="32"/>
          <w:szCs w:val="32"/>
        </w:rPr>
        <w:t>，杜绝</w:t>
      </w:r>
      <w:r>
        <w:rPr>
          <w:rFonts w:hint="eastAsia" w:ascii="仿宋_GB2312" w:hAnsi="仿宋_GB2312" w:eastAsia="仿宋_GB2312" w:cs="仿宋_GB2312"/>
          <w:sz w:val="32"/>
          <w:szCs w:val="32"/>
        </w:rPr>
        <w:t>了</w:t>
      </w:r>
      <w:r>
        <w:rPr>
          <w:rFonts w:ascii="仿宋_GB2312" w:hAnsi="仿宋_GB2312" w:eastAsia="仿宋_GB2312" w:cs="仿宋_GB2312"/>
          <w:sz w:val="32"/>
          <w:szCs w:val="32"/>
        </w:rPr>
        <w:t>各类安全事故发生。</w:t>
      </w:r>
    </w:p>
    <w:p>
      <w:pPr>
        <w:keepNext w:val="0"/>
        <w:keepLines w:val="0"/>
        <w:pageBreakBefore w:val="0"/>
        <w:kinsoku/>
        <w:wordWrap/>
        <w:overflowPunct/>
        <w:topLinePunct w:val="0"/>
        <w:autoSpaceDE/>
        <w:autoSpaceDN/>
        <w:bidi w:val="0"/>
        <w:spacing w:after="0" w:line="594" w:lineRule="exact"/>
        <w:ind w:firstLine="643" w:firstLineChars="200"/>
        <w:jc w:val="both"/>
        <w:textAlignment w:val="auto"/>
        <w:rPr>
          <w:rFonts w:ascii="仿宋_GB2312" w:hAnsi="仿宋_GB2312" w:eastAsia="仿宋_GB2312" w:cs="仿宋_GB2312"/>
          <w:bCs/>
          <w:sz w:val="32"/>
          <w:szCs w:val="32"/>
        </w:rPr>
      </w:pPr>
      <w:r>
        <w:rPr>
          <w:rFonts w:hint="eastAsia" w:ascii="仿宋_GB2312" w:hAnsi="仿宋_GB2312" w:eastAsia="仿宋_GB2312" w:cs="仿宋_GB2312"/>
          <w:b/>
          <w:sz w:val="32"/>
          <w:szCs w:val="32"/>
        </w:rPr>
        <w:t>6.强化全面依法治县工作。</w:t>
      </w:r>
      <w:r>
        <w:rPr>
          <w:rFonts w:hint="eastAsia" w:ascii="仿宋_GB2312" w:hAnsi="仿宋_GB2312" w:eastAsia="仿宋_GB2312" w:cs="仿宋_GB2312"/>
          <w:bCs/>
          <w:sz w:val="32"/>
          <w:szCs w:val="32"/>
        </w:rPr>
        <w:t>按照“全面依法治县”工作和普法工作的具体要求，</w:t>
      </w:r>
      <w:r>
        <w:rPr>
          <w:rFonts w:hint="eastAsia" w:ascii="仿宋_GB2312" w:hAnsi="仿宋_GB2312" w:eastAsia="仿宋_GB2312" w:cs="仿宋_GB2312"/>
          <w:b/>
          <w:bCs w:val="0"/>
          <w:sz w:val="32"/>
          <w:szCs w:val="32"/>
        </w:rPr>
        <w:t>一是</w:t>
      </w:r>
      <w:r>
        <w:rPr>
          <w:rFonts w:hint="eastAsia" w:ascii="仿宋_GB2312" w:hAnsi="仿宋_GB2312" w:eastAsia="仿宋_GB2312" w:cs="仿宋_GB2312"/>
          <w:bCs/>
          <w:sz w:val="32"/>
          <w:szCs w:val="32"/>
        </w:rPr>
        <w:t>及时成立全面依法治县工作领导小组，明确工作职责，齐抓共管，有效促进了全面依法治县各项工作规范化、制度化；</w:t>
      </w:r>
      <w:r>
        <w:rPr>
          <w:rFonts w:hint="eastAsia" w:ascii="仿宋_GB2312" w:hAnsi="仿宋_GB2312" w:eastAsia="仿宋_GB2312" w:cs="仿宋_GB2312"/>
          <w:b/>
          <w:bCs w:val="0"/>
          <w:sz w:val="32"/>
          <w:szCs w:val="32"/>
        </w:rPr>
        <w:t>二是</w:t>
      </w:r>
      <w:r>
        <w:rPr>
          <w:rFonts w:hint="eastAsia" w:ascii="仿宋_GB2312" w:hAnsi="仿宋_GB2312" w:eastAsia="仿宋_GB2312" w:cs="仿宋_GB2312"/>
          <w:bCs/>
          <w:sz w:val="32"/>
          <w:szCs w:val="32"/>
        </w:rPr>
        <w:t>扎实做好中心干职工的学法用法工作，特别是做好普法考试工作，将《中央全面依法治国工作会议精神》等内容纳入了中心组学习，进一步规范了法制教育；</w:t>
      </w:r>
      <w:r>
        <w:rPr>
          <w:rFonts w:hint="eastAsia" w:ascii="仿宋_GB2312" w:hAnsi="仿宋_GB2312" w:eastAsia="仿宋_GB2312" w:cs="仿宋_GB2312"/>
          <w:b/>
          <w:bCs w:val="0"/>
          <w:sz w:val="32"/>
          <w:szCs w:val="32"/>
        </w:rPr>
        <w:t>三是</w:t>
      </w:r>
      <w:r>
        <w:rPr>
          <w:rFonts w:hint="eastAsia" w:ascii="仿宋_GB2312" w:hAnsi="仿宋_GB2312" w:eastAsia="仿宋_GB2312" w:cs="仿宋_GB2312"/>
          <w:bCs/>
          <w:sz w:val="32"/>
          <w:szCs w:val="32"/>
        </w:rPr>
        <w:t>定期深入保障房小区开展全民法制宣传教育工作，</w:t>
      </w:r>
      <w:r>
        <w:rPr>
          <w:rFonts w:hint="eastAsia" w:ascii="仿宋_GB2312" w:hAnsi="仿宋_GB2312" w:eastAsia="仿宋_GB2312" w:cs="仿宋_GB2312"/>
          <w:sz w:val="32"/>
          <w:szCs w:val="32"/>
        </w:rPr>
        <w:t>进一步提高了全民依法办事的法治理念</w:t>
      </w:r>
      <w:r>
        <w:rPr>
          <w:rFonts w:hint="eastAsia" w:ascii="仿宋_GB2312" w:hAnsi="仿宋_GB2312" w:eastAsia="仿宋_GB2312" w:cs="仿宋_GB2312"/>
          <w:bCs/>
          <w:sz w:val="32"/>
          <w:szCs w:val="32"/>
        </w:rPr>
        <w:t>。</w:t>
      </w:r>
    </w:p>
    <w:p>
      <w:pPr>
        <w:keepNext w:val="0"/>
        <w:keepLines w:val="0"/>
        <w:pageBreakBefore w:val="0"/>
        <w:kinsoku/>
        <w:wordWrap/>
        <w:overflowPunct/>
        <w:topLinePunct w:val="0"/>
        <w:autoSpaceDE/>
        <w:autoSpaceDN/>
        <w:bidi w:val="0"/>
        <w:spacing w:after="0" w:line="594" w:lineRule="exact"/>
        <w:ind w:firstLine="643"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7.强化扫黑除恶工作。</w:t>
      </w:r>
      <w:r>
        <w:rPr>
          <w:rFonts w:ascii="仿宋_GB2312" w:hAnsi="仿宋_GB2312" w:eastAsia="仿宋_GB2312" w:cs="仿宋_GB2312"/>
          <w:bCs/>
          <w:sz w:val="32"/>
          <w:szCs w:val="32"/>
        </w:rPr>
        <w:t>扎实推进扫黑除恶专项斗争宣传工作</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建立长效机制以巩固好扫黑除恶的成果。立足扫黑除恶宣传工作实际，加强制度机制建设，不断提高专项斗争宣传工作的针对性、实效性，切实做到守土负责、守土尽责。</w:t>
      </w:r>
    </w:p>
    <w:p>
      <w:pPr>
        <w:keepNext w:val="0"/>
        <w:keepLines w:val="0"/>
        <w:pageBreakBefore w:val="0"/>
        <w:widowControl/>
        <w:kinsoku/>
        <w:wordWrap/>
        <w:overflowPunct/>
        <w:topLinePunct w:val="0"/>
        <w:autoSpaceDE/>
        <w:autoSpaceDN/>
        <w:bidi w:val="0"/>
        <w:adjustRightInd w:val="0"/>
        <w:snapToGrid w:val="0"/>
        <w:spacing w:after="0" w:line="594" w:lineRule="exact"/>
        <w:ind w:firstLine="643" w:firstLineChars="200"/>
        <w:jc w:val="both"/>
        <w:textAlignment w:val="auto"/>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8.助力乡村振兴，巩固脱贫成果。</w:t>
      </w:r>
      <w:r>
        <w:rPr>
          <w:rFonts w:hint="eastAsia" w:ascii="仿宋_GB2312" w:hAnsi="仿宋_GB2312" w:eastAsia="仿宋_GB2312" w:cs="仿宋_GB2312"/>
          <w:bCs/>
          <w:sz w:val="32"/>
          <w:szCs w:val="32"/>
        </w:rPr>
        <w:t>今年是巩固拓展脱贫攻坚成果、全面推进乡村振兴的开局之年，在县委县政府确定我中心联点村后，中心班子立即选派了第一书记，先后4次到村组开展调研走访，了解村组产业发展、居民生产生活情况，谋划乡村发展策略，及时拨付了帮扶资金5万元，另通过多方协调筹措资金近40万元，用于村组基础设施建设，目前已硬化村级公路600余米。</w:t>
      </w:r>
    </w:p>
    <w:p>
      <w:pPr>
        <w:spacing w:line="560" w:lineRule="exact"/>
        <w:ind w:firstLine="739" w:firstLineChars="230"/>
        <w:rPr>
          <w:rFonts w:ascii="黑体" w:hAnsi="黑体" w:eastAsia="黑体" w:cs="Times New Roman"/>
          <w:b/>
          <w:bCs/>
          <w:sz w:val="32"/>
          <w:szCs w:val="32"/>
        </w:rPr>
      </w:pPr>
      <w:r>
        <w:rPr>
          <w:rFonts w:hint="eastAsia" w:ascii="黑体" w:hAnsi="黑体" w:eastAsia="黑体" w:cs="黑体"/>
          <w:b/>
          <w:bCs/>
          <w:sz w:val="32"/>
          <w:szCs w:val="32"/>
        </w:rPr>
        <w:t>五、绩效评价工作情况</w:t>
      </w:r>
    </w:p>
    <w:p>
      <w:pPr>
        <w:spacing w:line="560" w:lineRule="exact"/>
        <w:ind w:firstLine="739" w:firstLineChars="231"/>
        <w:rPr>
          <w:rFonts w:ascii="仿宋_GB2312" w:eastAsia="仿宋_GB2312" w:cs="Times New Roman"/>
          <w:sz w:val="32"/>
          <w:szCs w:val="32"/>
        </w:rPr>
      </w:pPr>
      <w:r>
        <w:rPr>
          <w:rFonts w:hint="eastAsia" w:ascii="仿宋_GB2312" w:eastAsia="仿宋_GB2312" w:cs="仿宋_GB2312"/>
          <w:sz w:val="32"/>
          <w:szCs w:val="32"/>
        </w:rPr>
        <w:t>根据财政局工作布置要求，桃江县</w:t>
      </w:r>
      <w:r>
        <w:rPr>
          <w:rFonts w:hint="eastAsia" w:ascii="仿宋_GB2312" w:eastAsia="仿宋_GB2312" w:cs="仿宋_GB2312"/>
          <w:sz w:val="32"/>
          <w:szCs w:val="32"/>
          <w:lang w:eastAsia="zh-CN"/>
        </w:rPr>
        <w:t>住房保障服务中心</w:t>
      </w:r>
      <w:r>
        <w:rPr>
          <w:rFonts w:hint="eastAsia" w:ascii="仿宋_GB2312" w:eastAsia="仿宋_GB2312" w:cs="仿宋_GB2312"/>
          <w:sz w:val="32"/>
          <w:szCs w:val="32"/>
        </w:rPr>
        <w:t>成立了绩效评价工作领导小组，负责绩效评价工作的组织领导和具体实施。评价小组采取座谈等方式听取情况，检查基本支出、项目支出有关账目，收集整理支出相关资料，并根据各股室和二级机构报送的绩效自评材料进行自评，经自评得分为</w:t>
      </w:r>
      <w:r>
        <w:rPr>
          <w:rFonts w:ascii="仿宋_GB2312" w:eastAsia="仿宋_GB2312" w:cs="仿宋_GB2312"/>
          <w:sz w:val="32"/>
          <w:szCs w:val="32"/>
          <w:lang w:eastAsia="zh-CN"/>
        </w:rPr>
        <w:t>99</w:t>
      </w:r>
      <w:r>
        <w:rPr>
          <w:rFonts w:hint="eastAsia" w:ascii="仿宋_GB2312" w:eastAsia="仿宋_GB2312" w:cs="仿宋_GB2312"/>
          <w:sz w:val="32"/>
          <w:szCs w:val="32"/>
        </w:rPr>
        <w:t>分，最后根据实际情况进行全面分析，形成评价部门整体支出绩效评价报告上报县财政局。</w:t>
      </w:r>
    </w:p>
    <w:p>
      <w:pPr>
        <w:spacing w:line="560" w:lineRule="exact"/>
        <w:ind w:firstLine="739" w:firstLineChars="231"/>
        <w:rPr>
          <w:rFonts w:ascii="黑体" w:hAnsi="黑体" w:eastAsia="黑体" w:cs="Times New Roman"/>
          <w:sz w:val="32"/>
          <w:szCs w:val="32"/>
        </w:rPr>
      </w:pPr>
      <w:r>
        <w:rPr>
          <w:rFonts w:hint="eastAsia" w:ascii="黑体" w:hAnsi="黑体" w:eastAsia="黑体" w:cs="黑体"/>
          <w:sz w:val="32"/>
          <w:szCs w:val="32"/>
        </w:rPr>
        <w:t>六、存在的主要问题</w:t>
      </w:r>
    </w:p>
    <w:p>
      <w:pPr>
        <w:spacing w:line="560" w:lineRule="exact"/>
        <w:rPr>
          <w:rFonts w:ascii="仿宋_GB2312" w:eastAsia="仿宋_GB2312" w:cs="Times New Roman"/>
          <w:sz w:val="32"/>
          <w:szCs w:val="32"/>
        </w:rPr>
      </w:pPr>
      <w:r>
        <w:rPr>
          <w:rFonts w:hint="eastAsia" w:ascii="仿宋_GB2312" w:eastAsia="仿宋_GB2312" w:cs="仿宋_GB2312"/>
          <w:sz w:val="32"/>
          <w:szCs w:val="32"/>
        </w:rPr>
        <w:t>（一）实际收支与年初预算相差大。主要原因是没有全额预算，一是机关的大部分工作人员</w:t>
      </w:r>
      <w:r>
        <w:rPr>
          <w:rFonts w:hint="eastAsia" w:ascii="仿宋_GB2312" w:eastAsia="仿宋_GB2312" w:cs="仿宋_GB2312"/>
          <w:sz w:val="32"/>
          <w:szCs w:val="32"/>
          <w:lang w:eastAsia="zh-CN"/>
        </w:rPr>
        <w:t>编制为自收自支编制</w:t>
      </w:r>
      <w:r>
        <w:rPr>
          <w:rFonts w:hint="eastAsia" w:ascii="仿宋_GB2312" w:eastAsia="仿宋_GB2312" w:cs="仿宋_GB2312"/>
          <w:sz w:val="32"/>
          <w:szCs w:val="32"/>
        </w:rPr>
        <w:t>，在年初预算时没有安排工作经费，二是</w:t>
      </w:r>
      <w:r>
        <w:rPr>
          <w:rFonts w:hint="eastAsia" w:ascii="仿宋_GB2312" w:eastAsia="仿宋_GB2312" w:cs="仿宋_GB2312"/>
          <w:sz w:val="32"/>
          <w:szCs w:val="32"/>
          <w:lang w:eastAsia="zh-CN"/>
        </w:rPr>
        <w:t>棚户区改造项目没有进入年初预算</w:t>
      </w:r>
      <w:r>
        <w:rPr>
          <w:rFonts w:hint="eastAsia" w:ascii="仿宋_GB2312" w:eastAsia="仿宋_GB2312" w:cs="仿宋_GB2312"/>
          <w:sz w:val="32"/>
          <w:szCs w:val="32"/>
        </w:rPr>
        <w:t>，三是已安排的有关经费也与实际相差太大。</w:t>
      </w:r>
    </w:p>
    <w:p>
      <w:pPr>
        <w:spacing w:line="560" w:lineRule="exact"/>
        <w:rPr>
          <w:rFonts w:ascii="仿宋_GB2312" w:eastAsia="仿宋_GB2312" w:cs="Times New Roman"/>
          <w:sz w:val="32"/>
          <w:szCs w:val="32"/>
        </w:rPr>
      </w:pPr>
      <w:r>
        <w:rPr>
          <w:rFonts w:hint="eastAsia" w:ascii="仿宋_GB2312" w:eastAsia="仿宋_GB2312" w:cs="仿宋_GB2312"/>
          <w:sz w:val="32"/>
          <w:szCs w:val="32"/>
        </w:rPr>
        <w:t>（二）年初预算中部分专项支出安排不合理。</w:t>
      </w:r>
    </w:p>
    <w:p>
      <w:pPr>
        <w:spacing w:line="560" w:lineRule="exact"/>
        <w:ind w:firstLine="739" w:firstLineChars="231"/>
        <w:rPr>
          <w:rFonts w:ascii="黑体" w:hAnsi="黑体" w:eastAsia="黑体" w:cs="Times New Roman"/>
          <w:sz w:val="32"/>
          <w:szCs w:val="32"/>
        </w:rPr>
      </w:pPr>
      <w:r>
        <w:rPr>
          <w:rFonts w:hint="eastAsia" w:ascii="黑体" w:hAnsi="黑体" w:eastAsia="黑体" w:cs="黑体"/>
          <w:sz w:val="32"/>
          <w:szCs w:val="32"/>
        </w:rPr>
        <w:t>七、改进措施和有关建议</w:t>
      </w:r>
    </w:p>
    <w:p>
      <w:pPr>
        <w:spacing w:line="560" w:lineRule="exact"/>
        <w:rPr>
          <w:rFonts w:ascii="仿宋_GB2312" w:eastAsia="仿宋_GB2312" w:cs="Times New Roman"/>
          <w:sz w:val="32"/>
          <w:szCs w:val="32"/>
        </w:rPr>
      </w:pPr>
      <w:r>
        <w:rPr>
          <w:rFonts w:hint="eastAsia" w:ascii="仿宋_GB2312" w:eastAsia="仿宋_GB2312" w:cs="仿宋_GB2312"/>
          <w:sz w:val="32"/>
          <w:szCs w:val="32"/>
        </w:rPr>
        <w:t>（一）实行全面预算管理。建议按单位实际情况将所有收入和支出全部纳入预算管理，尽可能保持收支平衡，提高预算的严肃性和科学性，加强预算管理。</w:t>
      </w:r>
    </w:p>
    <w:p>
      <w:pPr>
        <w:spacing w:line="560" w:lineRule="exact"/>
        <w:rPr>
          <w:rFonts w:ascii="仿宋_GB2312" w:eastAsia="仿宋_GB2312" w:cs="Times New Roman"/>
          <w:sz w:val="32"/>
          <w:szCs w:val="32"/>
          <w:lang w:eastAsia="zh-CN"/>
        </w:rPr>
      </w:pPr>
      <w:r>
        <w:rPr>
          <w:rFonts w:hint="eastAsia" w:ascii="仿宋_GB2312" w:eastAsia="仿宋_GB2312" w:cs="仿宋_GB2312"/>
          <w:sz w:val="32"/>
          <w:szCs w:val="32"/>
        </w:rPr>
        <w:t>（二）合理安排专项资金。取消用来弥补基本支出不足设置的有关专项经费，按照单位实际需要进行安排，确保专款专用账务真实。</w:t>
      </w:r>
    </w:p>
    <w:sectPr>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S Minchofalt">
    <w:altName w:val="MS Gothic"/>
    <w:panose1 w:val="00000000000000000000"/>
    <w:charset w:val="80"/>
    <w:family w:val="auto"/>
    <w:pitch w:val="default"/>
    <w:sig w:usb0="00000000" w:usb1="00000000" w:usb2="00000010" w:usb3="00000000" w:csb0="00020000" w:csb1="0000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auto"/>
    <w:pitch w:val="default"/>
    <w:sig w:usb0="E00002FF" w:usb1="6AC7FDFB" w:usb2="00000012" w:usb3="00000000" w:csb0="4002009F" w:csb1="DFD70000"/>
  </w:font>
  <w:font w:name="Courier">
    <w:altName w:val="Courier New"/>
    <w:panose1 w:val="04000509000000000000"/>
    <w:charset w:val="00"/>
    <w:family w:val="moder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cs="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cs="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cs="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720"/>
  <w:doNotHyphenateCaps/>
  <w:characterSpacingControl w:val="doNotCompress"/>
  <w:noLineBreaksAfter w:lang="zh-CN" w:val="$([{£¥·‘“〈《「『【〔〖〝﹙﹛﹝＄（．［｛￡￥"/>
  <w:noLineBreaksBefore w:lang="zh-CN" w:val="!%),.:;&gt;?]}¢¨°·ˇˉ―‖’”…‰′″›℃∶、。〃〉》」』】〕〗〞︶︺︾﹀﹄﹚﹜﹞！＂％＇），．：；？］｀｜｝～￠"/>
  <w:doNotValidateAgainstSchema/>
  <w:doNotDemarcateInvalidXml/>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ZjkwYWU4YzA3NWNiY2FkZGUxMzQzMGI4ZjAyMTkifQ=="/>
  </w:docVars>
  <w:rsids>
    <w:rsidRoot w:val="00B47730"/>
    <w:rsid w:val="00024102"/>
    <w:rsid w:val="00034616"/>
    <w:rsid w:val="0006063C"/>
    <w:rsid w:val="0015074B"/>
    <w:rsid w:val="0029639D"/>
    <w:rsid w:val="002E1F6F"/>
    <w:rsid w:val="00326F90"/>
    <w:rsid w:val="008119C7"/>
    <w:rsid w:val="00AA1D8D"/>
    <w:rsid w:val="00AC6615"/>
    <w:rsid w:val="00B47730"/>
    <w:rsid w:val="00CB0664"/>
    <w:rsid w:val="00D108C3"/>
    <w:rsid w:val="00D80191"/>
    <w:rsid w:val="00DA0590"/>
    <w:rsid w:val="00F11B76"/>
    <w:rsid w:val="00F96389"/>
    <w:rsid w:val="00FC693F"/>
    <w:rsid w:val="04C31103"/>
    <w:rsid w:val="0C1666D9"/>
    <w:rsid w:val="0CA1312F"/>
    <w:rsid w:val="0E0B7D94"/>
    <w:rsid w:val="0E141955"/>
    <w:rsid w:val="109718F8"/>
    <w:rsid w:val="124E5341"/>
    <w:rsid w:val="1339523B"/>
    <w:rsid w:val="13D84274"/>
    <w:rsid w:val="18FB1601"/>
    <w:rsid w:val="1D2D0CD1"/>
    <w:rsid w:val="262A1E26"/>
    <w:rsid w:val="27AC15FA"/>
    <w:rsid w:val="2C1A1476"/>
    <w:rsid w:val="3074566C"/>
    <w:rsid w:val="33F644DF"/>
    <w:rsid w:val="36086B6E"/>
    <w:rsid w:val="3B982CA6"/>
    <w:rsid w:val="3FA215A0"/>
    <w:rsid w:val="40FE2CBD"/>
    <w:rsid w:val="424F016E"/>
    <w:rsid w:val="43607C5E"/>
    <w:rsid w:val="44321B87"/>
    <w:rsid w:val="46004D73"/>
    <w:rsid w:val="465C74AB"/>
    <w:rsid w:val="46D25859"/>
    <w:rsid w:val="47283299"/>
    <w:rsid w:val="475A2C17"/>
    <w:rsid w:val="49465B00"/>
    <w:rsid w:val="49966B9E"/>
    <w:rsid w:val="4BB02E05"/>
    <w:rsid w:val="4FC81092"/>
    <w:rsid w:val="50BD77C3"/>
    <w:rsid w:val="52BD52F5"/>
    <w:rsid w:val="546B0211"/>
    <w:rsid w:val="5B2401DA"/>
    <w:rsid w:val="5D091FC2"/>
    <w:rsid w:val="5DA14CA4"/>
    <w:rsid w:val="62950066"/>
    <w:rsid w:val="63181501"/>
    <w:rsid w:val="64E4063A"/>
    <w:rsid w:val="667C411A"/>
    <w:rsid w:val="6A572219"/>
    <w:rsid w:val="71F16917"/>
    <w:rsid w:val="780103C1"/>
    <w:rsid w:val="7B743701"/>
    <w:rsid w:val="7EEC391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qFormat="1" w:unhideWhenUsed="0" w:uiPriority="99" w:name="macro"/>
    <w:lsdException w:uiPriority="99" w:name="toa heading" w:locked="1"/>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iPriority="99" w:name="List 4" w:locked="1"/>
    <w:lsdException w:uiPriority="99" w:name="List 5" w:locked="1"/>
    <w:lsdException w:qFormat="1" w:unhideWhenUsed="0" w:uiPriority="99" w:semiHidden="0" w:name="List Bullet 2"/>
    <w:lsdException w:qFormat="1" w:unhideWhenUsed="0" w:uiPriority="99" w:semiHidden="0" w:name="List Bullet 3"/>
    <w:lsdException w:uiPriority="99" w:name="List Bullet 4" w:locked="1"/>
    <w:lsdException w:uiPriority="99" w:name="List Bullet 5" w:locked="1"/>
    <w:lsdException w:qFormat="1" w:unhideWhenUsed="0" w:uiPriority="99" w:semiHidden="0" w:name="List Number 2"/>
    <w:lsdException w:qFormat="1" w:unhideWhenUsed="0" w:uiPriority="99" w:semiHidden="0" w:name="List Number 3"/>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qFormat="1" w:unhideWhenUsed="0" w:uiPriority="99" w:semiHidden="0" w:name="No Spacing"/>
    <w:lsdException w:unhideWhenUsed="0" w:uiPriority="99" w:semiHidden="0" w:name="Light Shading"/>
    <w:lsdException w:unhideWhenUsed="0" w:uiPriority="99" w:semiHidden="0" w:name="Light List"/>
    <w:lsdException w:qFormat="1" w:unhideWhenUsed="0" w:uiPriority="99" w:semiHidden="0" w:name="Light Grid"/>
    <w:lsdException w:qFormat="1" w:unhideWhenUsed="0" w:uiPriority="99" w:semiHidden="0" w:name="Medium Shading 1"/>
    <w:lsdException w:unhideWhenUsed="0" w:uiPriority="99" w:semiHidden="0" w:name="Medium Shading 2"/>
    <w:lsdException w:unhideWhenUsed="0" w:uiPriority="99" w:semiHidden="0" w:name="Medium List 1"/>
    <w:lsdException w:unhideWhenUsed="0" w:uiPriority="99" w:semiHidden="0" w:name="Medium List 2"/>
    <w:lsdException w:qFormat="1" w:unhideWhenUsed="0" w:uiPriority="99" w:semiHidden="0" w:name="Medium Grid 1"/>
    <w:lsdException w:qFormat="1" w:unhideWhenUsed="0" w:uiPriority="99" w:semiHidden="0" w:name="Medium Grid 2"/>
    <w:lsdException w:unhideWhenUsed="0" w:uiPriority="99" w:semiHidden="0" w:name="Medium Grid 3"/>
    <w:lsdException w:unhideWhenUsed="0" w:uiPriority="99" w:semiHidden="0" w:name="Dark List"/>
    <w:lsdException w:qFormat="1" w:unhideWhenUsed="0" w:uiPriority="99" w:semiHidden="0" w:name="Colorful Shading"/>
    <w:lsdException w:unhideWhenUsed="0" w:uiPriority="99" w:semiHidden="0" w:name="Colorful List"/>
    <w:lsdException w:qFormat="1" w:unhideWhenUsed="0" w:uiPriority="99" w:semiHidden="0" w:name="Colorful Grid"/>
    <w:lsdException w:qFormat="1" w:unhideWhenUsed="0" w:uiPriority="99" w:semiHidden="0" w:name="Light Shading Accent 1"/>
    <w:lsdException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unhideWhenUsed="0" w:uiPriority="99"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99" w:semiHidden="0" w:name="Medium List 2 Accent 1"/>
    <w:lsdException w:unhideWhenUsed="0" w:uiPriority="99" w:semiHidden="0" w:name="Medium Grid 1 Accent 1"/>
    <w:lsdException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unhideWhenUsed="0" w:uiPriority="99" w:semiHidden="0" w:name="Colorful Grid Accent 1"/>
    <w:lsdException w:unhideWhenUsed="0" w:uiPriority="99" w:semiHidden="0" w:name="Light Shading Accent 2"/>
    <w:lsdException w:unhideWhenUsed="0" w:uiPriority="99" w:semiHidden="0" w:name="Light List Accent 2"/>
    <w:lsdException w:unhideWhenUsed="0" w:uiPriority="99" w:semiHidden="0" w:name="Light Grid Accent 2"/>
    <w:lsdException w:unhideWhenUsed="0" w:uiPriority="99" w:semiHidden="0" w:name="Medium Shading 1 Accent 2"/>
    <w:lsdException w:qFormat="1" w:unhideWhenUsed="0" w:uiPriority="99" w:semiHidden="0" w:name="Medium Shading 2 Accent 2"/>
    <w:lsdException w:unhideWhenUsed="0" w:uiPriority="99" w:semiHidden="0" w:name="Medium List 1 Accent 2"/>
    <w:lsdException w:unhideWhenUsed="0" w:uiPriority="99" w:semiHidden="0" w:name="Medium List 2 Accent 2"/>
    <w:lsdException w:unhideWhenUsed="0" w:uiPriority="99" w:semiHidden="0" w:name="Medium Grid 1 Accent 2"/>
    <w:lsdException w:qFormat="1" w:unhideWhenUsed="0" w:uiPriority="99" w:semiHidden="0" w:name="Medium Grid 2 Accent 2"/>
    <w:lsdException w:unhideWhenUsed="0" w:uiPriority="99" w:semiHidden="0" w:name="Medium Grid 3 Accent 2"/>
    <w:lsdException w:qFormat="1" w:unhideWhenUsed="0" w:uiPriority="99" w:semiHidden="0" w:name="Dark List Accent 2"/>
    <w:lsdException w:qFormat="1" w:unhideWhenUsed="0" w:uiPriority="99" w:semiHidden="0" w:name="Colorful Shading Accent 2"/>
    <w:lsdException w:unhideWhenUsed="0" w:uiPriority="99" w:semiHidden="0" w:name="Colorful List Accent 2"/>
    <w:lsdException w:qFormat="1" w:unhideWhenUsed="0" w:uiPriority="99" w:semiHidden="0" w:name="Colorful Grid Accent 2"/>
    <w:lsdException w:unhideWhenUsed="0" w:uiPriority="99" w:semiHidden="0" w:name="Light Shading Accent 3"/>
    <w:lsdException w:qFormat="1" w:unhideWhenUsed="0" w:uiPriority="99" w:semiHidden="0" w:name="Light List Accent 3"/>
    <w:lsdException w:unhideWhenUsed="0" w:uiPriority="99" w:semiHidden="0" w:name="Light Grid Accent 3"/>
    <w:lsdException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unhideWhenUsed="0" w:uiPriority="99" w:semiHidden="0" w:name="Medium List 2 Accent 3"/>
    <w:lsdException w:unhideWhenUsed="0" w:uiPriority="99" w:semiHidden="0" w:name="Medium Grid 1 Accent 3"/>
    <w:lsdException w:unhideWhenUsed="0" w:uiPriority="99" w:semiHidden="0" w:name="Medium Grid 2 Accent 3"/>
    <w:lsdException w:qFormat="1" w:unhideWhenUsed="0" w:uiPriority="99" w:semiHidden="0" w:name="Medium Grid 3 Accent 3"/>
    <w:lsdException w:qFormat="1" w:unhideWhenUsed="0" w:uiPriority="99" w:semiHidden="0" w:name="Dark List Accent 3"/>
    <w:lsdException w:unhideWhenUsed="0" w:uiPriority="99" w:semiHidden="0" w:name="Colorful Shading Accent 3"/>
    <w:lsdException w:qFormat="1" w:unhideWhenUsed="0" w:uiPriority="99" w:semiHidden="0" w:name="Colorful List Accent 3"/>
    <w:lsdException w:unhideWhenUsed="0" w:uiPriority="99" w:semiHidden="0" w:name="Colorful Grid Accent 3"/>
    <w:lsdException w:qFormat="1" w:unhideWhenUsed="0" w:uiPriority="99" w:semiHidden="0" w:name="Light Shading Accent 4"/>
    <w:lsdException w:qFormat="1" w:unhideWhenUsed="0" w:uiPriority="99" w:semiHidden="0" w:name="Light List Accent 4"/>
    <w:lsdException w:unhideWhenUsed="0" w:uiPriority="99" w:semiHidden="0" w:name="Light Grid Accent 4"/>
    <w:lsdException w:unhideWhenUsed="0" w:uiPriority="99" w:semiHidden="0" w:name="Medium Shading 1 Accent 4"/>
    <w:lsdException w:unhideWhenUsed="0" w:uiPriority="99" w:semiHidden="0" w:name="Medium Shading 2 Accent 4"/>
    <w:lsdException w:qFormat="1" w:unhideWhenUsed="0" w:uiPriority="99" w:semiHidden="0" w:name="Medium List 1 Accent 4"/>
    <w:lsdException w:unhideWhenUsed="0" w:uiPriority="99" w:semiHidden="0" w:name="Medium List 2 Accent 4"/>
    <w:lsdException w:unhideWhenUsed="0" w:uiPriority="99" w:semiHidden="0" w:name="Medium Grid 1 Accent 4"/>
    <w:lsdException w:qFormat="1" w:unhideWhenUsed="0" w:uiPriority="99" w:semiHidden="0" w:name="Medium Grid 2 Accent 4"/>
    <w:lsdException w:unhideWhenUsed="0" w:uiPriority="99" w:semiHidden="0" w:name="Medium Grid 3 Accent 4"/>
    <w:lsdException w:unhideWhenUsed="0" w:uiPriority="99" w:semiHidden="0" w:name="Dark List Accent 4"/>
    <w:lsdException w:qFormat="1" w:unhideWhenUsed="0" w:uiPriority="99" w:semiHidden="0" w:name="Colorful Shading Accent 4"/>
    <w:lsdException w:unhideWhenUsed="0" w:uiPriority="99" w:semiHidden="0" w:name="Colorful List Accent 4"/>
    <w:lsdException w:unhideWhenUsed="0" w:uiPriority="99" w:semiHidden="0" w:name="Colorful Grid Accent 4"/>
    <w:lsdException w:unhideWhenUsed="0" w:uiPriority="99" w:semiHidden="0" w:name="Light Shading Accent 5"/>
    <w:lsdException w:qFormat="1" w:unhideWhenUsed="0" w:uiPriority="99" w:semiHidden="0" w:name="Light List Accent 5"/>
    <w:lsdException w:unhideWhenUsed="0" w:uiPriority="99" w:semiHidden="0" w:name="Light Grid Accent 5"/>
    <w:lsdException w:unhideWhenUsed="0" w:uiPriority="99" w:semiHidden="0" w:name="Medium Shading 1 Accent 5"/>
    <w:lsdException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unhideWhenUsed="0" w:uiPriority="99" w:semiHidden="0" w:name="Medium Grid 1 Accent 5"/>
    <w:lsdException w:qFormat="1" w:unhideWhenUsed="0" w:uiPriority="99" w:semiHidden="0" w:name="Medium Grid 2 Accent 5"/>
    <w:lsdException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unhideWhenUsed="0" w:uiPriority="99" w:semiHidden="0" w:name="Colorful Grid Accent 5"/>
    <w:lsdException w:unhideWhenUsed="0" w:uiPriority="99" w:semiHidden="0" w:name="Light Shading Accent 6"/>
    <w:lsdException w:qFormat="1" w:unhideWhenUsed="0" w:uiPriority="99" w:semiHidden="0" w:name="Light List Accent 6"/>
    <w:lsdException w:qFormat="1" w:unhideWhenUsed="0" w:uiPriority="99" w:semiHidden="0" w:name="Light Grid Accent 6"/>
    <w:lsdException w:unhideWhenUsed="0" w:uiPriority="99" w:semiHidden="0" w:name="Medium Shading 1 Accent 6"/>
    <w:lsdException w:unhideWhenUsed="0" w:uiPriority="99" w:semiHidden="0" w:name="Medium Shading 2 Accent 6"/>
    <w:lsdException w:unhideWhenUsed="0" w:uiPriority="99" w:semiHidden="0" w:name="Medium List 1 Accent 6"/>
    <w:lsdException w:qFormat="1" w:unhideWhenUsed="0" w:uiPriority="99" w:semiHidden="0" w:name="Medium List 2 Accent 6"/>
    <w:lsdException w:unhideWhenUsed="0" w:uiPriority="99" w:semiHidden="0" w:name="Medium Grid 1 Accent 6"/>
    <w:lsdException w:qFormat="1" w:unhideWhenUsed="0" w:uiPriority="99" w:semiHidden="0" w:name="Medium Grid 2 Accent 6"/>
    <w:lsdException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unhideWhenUsed="0" w:uiPriority="99" w:semiHidden="0" w:name="Colorful Grid Accent 6"/>
  </w:latentStyles>
  <w:style w:type="paragraph" w:default="1" w:styleId="1">
    <w:name w:val="Normal"/>
    <w:qFormat/>
    <w:uiPriority w:val="0"/>
    <w:pPr>
      <w:spacing w:after="200" w:line="276" w:lineRule="auto"/>
      <w:ind w:firstLine="420"/>
    </w:pPr>
    <w:rPr>
      <w:rFonts w:ascii="微软雅黑" w:hAnsi="微软雅黑" w:eastAsia="微软雅黑" w:cs="微软雅黑"/>
      <w:kern w:val="0"/>
      <w:sz w:val="24"/>
      <w:szCs w:val="24"/>
      <w:lang w:val="en-US" w:eastAsia="en-US" w:bidi="ar-SA"/>
    </w:rPr>
  </w:style>
  <w:style w:type="paragraph" w:styleId="3">
    <w:name w:val="heading 1"/>
    <w:basedOn w:val="1"/>
    <w:next w:val="1"/>
    <w:link w:val="135"/>
    <w:qFormat/>
    <w:uiPriority w:val="99"/>
    <w:pPr>
      <w:keepNext/>
      <w:keepLines/>
      <w:spacing w:before="480" w:after="0"/>
      <w:outlineLvl w:val="0"/>
    </w:pPr>
    <w:rPr>
      <w:rFonts w:ascii="Calibri" w:hAnsi="Calibri" w:eastAsia="MS Gothic" w:cs="Calibri"/>
      <w:b/>
      <w:bCs/>
      <w:color w:val="365F91"/>
      <w:sz w:val="28"/>
      <w:szCs w:val="28"/>
    </w:rPr>
  </w:style>
  <w:style w:type="paragraph" w:styleId="4">
    <w:name w:val="heading 2"/>
    <w:basedOn w:val="1"/>
    <w:next w:val="1"/>
    <w:link w:val="136"/>
    <w:qFormat/>
    <w:uiPriority w:val="99"/>
    <w:pPr>
      <w:keepNext/>
      <w:keepLines/>
      <w:spacing w:before="200" w:after="0"/>
      <w:outlineLvl w:val="1"/>
    </w:pPr>
    <w:rPr>
      <w:rFonts w:ascii="Calibri" w:hAnsi="Calibri" w:eastAsia="MS Gothic" w:cs="Calibri"/>
      <w:b/>
      <w:bCs/>
      <w:color w:val="4F81BD"/>
      <w:sz w:val="26"/>
      <w:szCs w:val="26"/>
    </w:rPr>
  </w:style>
  <w:style w:type="paragraph" w:styleId="5">
    <w:name w:val="heading 3"/>
    <w:basedOn w:val="1"/>
    <w:next w:val="1"/>
    <w:link w:val="137"/>
    <w:qFormat/>
    <w:uiPriority w:val="99"/>
    <w:pPr>
      <w:keepNext/>
      <w:keepLines/>
      <w:spacing w:before="200" w:after="0"/>
      <w:outlineLvl w:val="2"/>
    </w:pPr>
    <w:rPr>
      <w:rFonts w:ascii="Calibri" w:hAnsi="Calibri" w:eastAsia="MS Gothic" w:cs="Calibri"/>
      <w:b/>
      <w:bCs/>
      <w:color w:val="4F81BD"/>
    </w:rPr>
  </w:style>
  <w:style w:type="paragraph" w:styleId="6">
    <w:name w:val="heading 4"/>
    <w:basedOn w:val="1"/>
    <w:next w:val="1"/>
    <w:link w:val="138"/>
    <w:qFormat/>
    <w:uiPriority w:val="99"/>
    <w:pPr>
      <w:keepNext/>
      <w:keepLines/>
      <w:spacing w:before="200" w:after="0"/>
      <w:outlineLvl w:val="3"/>
    </w:pPr>
    <w:rPr>
      <w:rFonts w:ascii="Calibri" w:hAnsi="Calibri" w:eastAsia="MS Gothic" w:cs="Calibri"/>
      <w:b/>
      <w:bCs/>
      <w:i/>
      <w:iCs/>
      <w:color w:val="4F81BD"/>
    </w:rPr>
  </w:style>
  <w:style w:type="paragraph" w:styleId="7">
    <w:name w:val="heading 5"/>
    <w:basedOn w:val="1"/>
    <w:next w:val="1"/>
    <w:link w:val="139"/>
    <w:qFormat/>
    <w:uiPriority w:val="99"/>
    <w:pPr>
      <w:keepNext/>
      <w:keepLines/>
      <w:spacing w:before="200" w:after="0"/>
      <w:outlineLvl w:val="4"/>
    </w:pPr>
    <w:rPr>
      <w:rFonts w:ascii="Calibri" w:hAnsi="Calibri" w:eastAsia="MS Gothic" w:cs="Calibri"/>
      <w:color w:val="244061"/>
    </w:rPr>
  </w:style>
  <w:style w:type="paragraph" w:styleId="8">
    <w:name w:val="heading 6"/>
    <w:basedOn w:val="1"/>
    <w:next w:val="1"/>
    <w:link w:val="140"/>
    <w:qFormat/>
    <w:uiPriority w:val="99"/>
    <w:pPr>
      <w:keepNext/>
      <w:keepLines/>
      <w:spacing w:before="200" w:after="0"/>
      <w:outlineLvl w:val="5"/>
    </w:pPr>
    <w:rPr>
      <w:rFonts w:ascii="Calibri" w:hAnsi="Calibri" w:eastAsia="MS Gothic" w:cs="Calibri"/>
      <w:i/>
      <w:iCs/>
      <w:color w:val="244061"/>
    </w:rPr>
  </w:style>
  <w:style w:type="paragraph" w:styleId="9">
    <w:name w:val="heading 7"/>
    <w:basedOn w:val="1"/>
    <w:next w:val="1"/>
    <w:link w:val="141"/>
    <w:qFormat/>
    <w:uiPriority w:val="99"/>
    <w:pPr>
      <w:keepNext/>
      <w:keepLines/>
      <w:spacing w:before="200" w:after="0"/>
      <w:outlineLvl w:val="6"/>
    </w:pPr>
    <w:rPr>
      <w:rFonts w:ascii="Calibri" w:hAnsi="Calibri" w:eastAsia="MS Gothic" w:cs="Calibri"/>
      <w:i/>
      <w:iCs/>
      <w:color w:val="404040"/>
    </w:rPr>
  </w:style>
  <w:style w:type="paragraph" w:styleId="10">
    <w:name w:val="heading 8"/>
    <w:basedOn w:val="1"/>
    <w:next w:val="1"/>
    <w:link w:val="142"/>
    <w:qFormat/>
    <w:uiPriority w:val="99"/>
    <w:pPr>
      <w:keepNext/>
      <w:keepLines/>
      <w:spacing w:before="200" w:after="0"/>
      <w:outlineLvl w:val="7"/>
    </w:pPr>
    <w:rPr>
      <w:rFonts w:ascii="Calibri" w:hAnsi="Calibri" w:eastAsia="MS Gothic" w:cs="Calibri"/>
      <w:color w:val="4F81BD"/>
      <w:sz w:val="20"/>
      <w:szCs w:val="20"/>
    </w:rPr>
  </w:style>
  <w:style w:type="paragraph" w:styleId="11">
    <w:name w:val="heading 9"/>
    <w:basedOn w:val="1"/>
    <w:next w:val="1"/>
    <w:link w:val="143"/>
    <w:qFormat/>
    <w:uiPriority w:val="99"/>
    <w:pPr>
      <w:keepNext/>
      <w:keepLines/>
      <w:spacing w:before="200" w:after="0"/>
      <w:outlineLvl w:val="8"/>
    </w:pPr>
    <w:rPr>
      <w:rFonts w:ascii="Calibri" w:hAnsi="Calibri" w:eastAsia="MS Gothic" w:cs="Calibri"/>
      <w:i/>
      <w:iCs/>
      <w:color w:val="404040"/>
      <w:sz w:val="20"/>
      <w:szCs w:val="20"/>
    </w:rPr>
  </w:style>
  <w:style w:type="character" w:default="1" w:styleId="132">
    <w:name w:val="Default Paragraph Font"/>
    <w:semiHidden/>
    <w:qFormat/>
    <w:uiPriority w:val="99"/>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2">
    <w:name w:val="macro"/>
    <w:link w:val="144"/>
    <w:semiHidden/>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MS Minchofalt" w:cs="Courier"/>
      <w:kern w:val="0"/>
      <w:sz w:val="20"/>
      <w:szCs w:val="20"/>
      <w:lang w:val="en-US" w:eastAsia="en-US" w:bidi="ar-SA"/>
    </w:rPr>
  </w:style>
  <w:style w:type="paragraph" w:styleId="12">
    <w:name w:val="List 3"/>
    <w:basedOn w:val="1"/>
    <w:qFormat/>
    <w:uiPriority w:val="99"/>
    <w:pPr>
      <w:ind w:left="1080" w:hanging="360"/>
    </w:pPr>
  </w:style>
  <w:style w:type="paragraph" w:styleId="13">
    <w:name w:val="List Number 2"/>
    <w:basedOn w:val="1"/>
    <w:qFormat/>
    <w:uiPriority w:val="99"/>
    <w:pPr>
      <w:numPr>
        <w:ilvl w:val="0"/>
        <w:numId w:val="1"/>
      </w:numPr>
    </w:pPr>
  </w:style>
  <w:style w:type="paragraph" w:styleId="14">
    <w:name w:val="List Number"/>
    <w:basedOn w:val="1"/>
    <w:qFormat/>
    <w:uiPriority w:val="99"/>
    <w:pPr>
      <w:numPr>
        <w:ilvl w:val="0"/>
        <w:numId w:val="2"/>
      </w:numPr>
    </w:pPr>
  </w:style>
  <w:style w:type="paragraph" w:styleId="15">
    <w:name w:val="caption"/>
    <w:basedOn w:val="1"/>
    <w:next w:val="1"/>
    <w:qFormat/>
    <w:uiPriority w:val="99"/>
    <w:pPr>
      <w:spacing w:line="240" w:lineRule="auto"/>
    </w:pPr>
    <w:rPr>
      <w:b/>
      <w:bCs/>
      <w:color w:val="4F81BD"/>
      <w:sz w:val="18"/>
      <w:szCs w:val="18"/>
    </w:rPr>
  </w:style>
  <w:style w:type="paragraph" w:styleId="16">
    <w:name w:val="List Bullet"/>
    <w:basedOn w:val="1"/>
    <w:qFormat/>
    <w:uiPriority w:val="99"/>
    <w:pPr>
      <w:numPr>
        <w:ilvl w:val="0"/>
        <w:numId w:val="3"/>
      </w:numPr>
    </w:pPr>
  </w:style>
  <w:style w:type="paragraph" w:styleId="17">
    <w:name w:val="Body Text 3"/>
    <w:basedOn w:val="1"/>
    <w:link w:val="145"/>
    <w:qFormat/>
    <w:uiPriority w:val="99"/>
    <w:pPr>
      <w:spacing w:after="120"/>
    </w:pPr>
    <w:rPr>
      <w:sz w:val="16"/>
      <w:szCs w:val="16"/>
    </w:rPr>
  </w:style>
  <w:style w:type="paragraph" w:styleId="18">
    <w:name w:val="List Bullet 3"/>
    <w:basedOn w:val="1"/>
    <w:qFormat/>
    <w:uiPriority w:val="99"/>
    <w:pPr>
      <w:numPr>
        <w:ilvl w:val="0"/>
        <w:numId w:val="4"/>
      </w:numPr>
    </w:pPr>
  </w:style>
  <w:style w:type="paragraph" w:styleId="19">
    <w:name w:val="Body Text"/>
    <w:basedOn w:val="1"/>
    <w:link w:val="146"/>
    <w:qFormat/>
    <w:uiPriority w:val="99"/>
    <w:pPr>
      <w:spacing w:after="120"/>
    </w:pPr>
  </w:style>
  <w:style w:type="paragraph" w:styleId="20">
    <w:name w:val="List Number 3"/>
    <w:basedOn w:val="1"/>
    <w:qFormat/>
    <w:uiPriority w:val="99"/>
    <w:pPr>
      <w:numPr>
        <w:ilvl w:val="0"/>
        <w:numId w:val="5"/>
      </w:numPr>
    </w:pPr>
  </w:style>
  <w:style w:type="paragraph" w:styleId="21">
    <w:name w:val="List 2"/>
    <w:basedOn w:val="1"/>
    <w:qFormat/>
    <w:uiPriority w:val="99"/>
    <w:pPr>
      <w:ind w:left="720" w:hanging="360"/>
    </w:pPr>
  </w:style>
  <w:style w:type="paragraph" w:styleId="22">
    <w:name w:val="List Continue"/>
    <w:basedOn w:val="1"/>
    <w:qFormat/>
    <w:uiPriority w:val="99"/>
    <w:pPr>
      <w:spacing w:after="120"/>
      <w:ind w:left="360"/>
    </w:pPr>
  </w:style>
  <w:style w:type="paragraph" w:styleId="23">
    <w:name w:val="List Bullet 2"/>
    <w:basedOn w:val="1"/>
    <w:qFormat/>
    <w:uiPriority w:val="99"/>
    <w:pPr>
      <w:numPr>
        <w:ilvl w:val="0"/>
        <w:numId w:val="6"/>
      </w:numPr>
    </w:pPr>
  </w:style>
  <w:style w:type="paragraph" w:styleId="24">
    <w:name w:val="footer"/>
    <w:basedOn w:val="1"/>
    <w:link w:val="147"/>
    <w:qFormat/>
    <w:uiPriority w:val="99"/>
    <w:pPr>
      <w:tabs>
        <w:tab w:val="center" w:pos="4680"/>
        <w:tab w:val="right" w:pos="9360"/>
      </w:tabs>
      <w:spacing w:after="0" w:line="240" w:lineRule="auto"/>
    </w:pPr>
  </w:style>
  <w:style w:type="paragraph" w:styleId="25">
    <w:name w:val="header"/>
    <w:basedOn w:val="1"/>
    <w:link w:val="148"/>
    <w:qFormat/>
    <w:uiPriority w:val="99"/>
    <w:pPr>
      <w:tabs>
        <w:tab w:val="center" w:pos="4680"/>
        <w:tab w:val="right" w:pos="9360"/>
      </w:tabs>
      <w:spacing w:after="0" w:line="240" w:lineRule="auto"/>
    </w:pPr>
  </w:style>
  <w:style w:type="paragraph" w:styleId="26">
    <w:name w:val="Subtitle"/>
    <w:basedOn w:val="1"/>
    <w:next w:val="1"/>
    <w:link w:val="149"/>
    <w:qFormat/>
    <w:uiPriority w:val="99"/>
    <w:rPr>
      <w:rFonts w:ascii="Calibri" w:hAnsi="Calibri" w:eastAsia="MS Gothic" w:cs="Calibri"/>
      <w:i/>
      <w:iCs/>
      <w:color w:val="4F81BD"/>
      <w:spacing w:val="15"/>
    </w:rPr>
  </w:style>
  <w:style w:type="paragraph" w:styleId="27">
    <w:name w:val="List"/>
    <w:basedOn w:val="1"/>
    <w:qFormat/>
    <w:uiPriority w:val="99"/>
    <w:pPr>
      <w:ind w:left="360" w:hanging="360"/>
    </w:pPr>
  </w:style>
  <w:style w:type="paragraph" w:styleId="28">
    <w:name w:val="Body Text 2"/>
    <w:basedOn w:val="1"/>
    <w:link w:val="150"/>
    <w:qFormat/>
    <w:uiPriority w:val="99"/>
    <w:pPr>
      <w:spacing w:after="120" w:line="480" w:lineRule="auto"/>
    </w:pPr>
  </w:style>
  <w:style w:type="paragraph" w:styleId="29">
    <w:name w:val="List Continue 2"/>
    <w:basedOn w:val="1"/>
    <w:qFormat/>
    <w:uiPriority w:val="99"/>
    <w:pPr>
      <w:spacing w:after="120"/>
      <w:ind w:left="720"/>
    </w:pPr>
  </w:style>
  <w:style w:type="paragraph" w:styleId="30">
    <w:name w:val="List Continue 3"/>
    <w:basedOn w:val="1"/>
    <w:qFormat/>
    <w:uiPriority w:val="99"/>
    <w:pPr>
      <w:spacing w:after="120"/>
      <w:ind w:left="1080"/>
    </w:pPr>
  </w:style>
  <w:style w:type="paragraph" w:styleId="31">
    <w:name w:val="Title"/>
    <w:basedOn w:val="1"/>
    <w:next w:val="1"/>
    <w:link w:val="151"/>
    <w:qFormat/>
    <w:uiPriority w:val="99"/>
    <w:pPr>
      <w:pBdr>
        <w:bottom w:val="single" w:color="4F81BD" w:sz="8" w:space="4"/>
      </w:pBdr>
      <w:spacing w:after="300" w:line="240" w:lineRule="auto"/>
    </w:pPr>
    <w:rPr>
      <w:rFonts w:ascii="Calibri" w:hAnsi="Calibri" w:eastAsia="MS Gothic" w:cs="Calibri"/>
      <w:color w:val="17365D"/>
      <w:spacing w:val="5"/>
      <w:kern w:val="28"/>
      <w:sz w:val="52"/>
      <w:szCs w:val="52"/>
    </w:rPr>
  </w:style>
  <w:style w:type="table" w:styleId="33">
    <w:name w:val="Table Grid"/>
    <w:basedOn w:val="32"/>
    <w:qFormat/>
    <w:uiPriority w:val="99"/>
    <w:rPr>
      <w:rFonts w:cs="Cambria"/>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34">
    <w:name w:val="Light Shading"/>
    <w:basedOn w:val="32"/>
    <w:uiPriority w:val="99"/>
    <w:rPr>
      <w:rFonts w:cs="Cambria"/>
      <w:color w:val="000000"/>
      <w:kern w:val="0"/>
      <w:sz w:val="20"/>
      <w:szCs w:val="20"/>
    </w:rPr>
    <w:tblPr>
      <w:tblBorders>
        <w:top w:val="single" w:color="000000" w:sz="8" w:space="0"/>
        <w:bottom w:val="single" w:color="000000" w:sz="8" w:space="0"/>
      </w:tblBorders>
      <w:tblLayout w:type="fixed"/>
      <w:tblCellMar>
        <w:top w:w="0" w:type="dxa"/>
        <w:left w:w="108" w:type="dxa"/>
        <w:bottom w:w="0" w:type="dxa"/>
        <w:right w:w="108" w:type="dxa"/>
      </w:tblCellMar>
    </w:tblPr>
    <w:tblStylePr w:type="firstRow">
      <w:pPr>
        <w:spacing w:before="0" w:after="0"/>
      </w:pPr>
      <w:rPr>
        <w:b/>
        <w:bCs/>
      </w:rPr>
      <w:tblPr>
        <w:tblLayout w:type="fixed"/>
      </w:tblPr>
      <w:tcPr>
        <w:tcBorders>
          <w:top w:val="single" w:color="000000" w:sz="8" w:space="0"/>
          <w:left w:val="nil"/>
          <w:bottom w:val="single" w:color="000000" w:sz="8" w:space="0"/>
          <w:right w:val="nil"/>
          <w:insideH w:val="nil"/>
          <w:insideV w:val="nil"/>
        </w:tcBorders>
      </w:tcPr>
    </w:tblStylePr>
    <w:tblStylePr w:type="lastRow">
      <w:pPr>
        <w:spacing w:before="0" w:after="0"/>
      </w:pPr>
      <w:rPr>
        <w:b/>
        <w:bCs/>
      </w:rPr>
      <w:tblPr>
        <w:tblLayout w:type="fixed"/>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C0C0C0"/>
      </w:tcPr>
    </w:tblStylePr>
    <w:tblStylePr w:type="band1Horz">
      <w:tblPr>
        <w:tblLayout w:type="fixed"/>
      </w:tblPr>
      <w:tcPr>
        <w:tcBorders>
          <w:left w:val="nil"/>
          <w:right w:val="nil"/>
          <w:insideH w:val="nil"/>
          <w:insideV w:val="nil"/>
        </w:tcBorders>
        <w:shd w:val="clear" w:color="auto" w:fill="C0C0C0"/>
      </w:tcPr>
    </w:tblStylePr>
  </w:style>
  <w:style w:type="table" w:styleId="35">
    <w:name w:val="Light Shading Accent 1"/>
    <w:basedOn w:val="32"/>
    <w:qFormat/>
    <w:uiPriority w:val="99"/>
    <w:rPr>
      <w:rFonts w:cs="Cambria"/>
      <w:color w:val="365F91"/>
      <w:kern w:val="0"/>
      <w:sz w:val="20"/>
      <w:szCs w:val="20"/>
    </w:rPr>
    <w:tblPr>
      <w:tblBorders>
        <w:top w:val="single" w:color="4F81BD" w:sz="8" w:space="0"/>
        <w:bottom w:val="single" w:color="4F81BD" w:sz="8" w:space="0"/>
      </w:tblBorders>
      <w:tblLayout w:type="fixed"/>
      <w:tblCellMar>
        <w:top w:w="0" w:type="dxa"/>
        <w:left w:w="108" w:type="dxa"/>
        <w:bottom w:w="0" w:type="dxa"/>
        <w:right w:w="108" w:type="dxa"/>
      </w:tblCellMar>
    </w:tblPr>
    <w:tblStylePr w:type="firstRow">
      <w:pPr>
        <w:spacing w:before="0" w:after="0"/>
      </w:pPr>
      <w:rPr>
        <w:b/>
        <w:bCs/>
      </w:rPr>
      <w:tblPr>
        <w:tblLayout w:type="fixed"/>
      </w:tblPr>
      <w:tcPr>
        <w:tcBorders>
          <w:top w:val="single" w:color="4F81BD" w:sz="8" w:space="0"/>
          <w:left w:val="nil"/>
          <w:bottom w:val="single" w:color="4F81BD" w:sz="8" w:space="0"/>
          <w:right w:val="nil"/>
          <w:insideH w:val="nil"/>
          <w:insideV w:val="nil"/>
        </w:tcBorders>
      </w:tcPr>
    </w:tblStylePr>
    <w:tblStylePr w:type="lastRow">
      <w:pPr>
        <w:spacing w:before="0" w:after="0"/>
      </w:pPr>
      <w:rPr>
        <w:b/>
        <w:bCs/>
      </w:rPr>
      <w:tblPr>
        <w:tblLayout w:type="fixed"/>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3DFEE"/>
      </w:tcPr>
    </w:tblStylePr>
    <w:tblStylePr w:type="band1Horz">
      <w:tblPr>
        <w:tblLayout w:type="fixed"/>
      </w:tblPr>
      <w:tcPr>
        <w:tcBorders>
          <w:left w:val="nil"/>
          <w:right w:val="nil"/>
          <w:insideH w:val="nil"/>
          <w:insideV w:val="nil"/>
        </w:tcBorders>
        <w:shd w:val="clear" w:color="auto" w:fill="D3DFEE"/>
      </w:tcPr>
    </w:tblStylePr>
  </w:style>
  <w:style w:type="table" w:styleId="36">
    <w:name w:val="Light Shading Accent 2"/>
    <w:basedOn w:val="32"/>
    <w:uiPriority w:val="99"/>
    <w:rPr>
      <w:rFonts w:cs="Cambria"/>
      <w:color w:val="943634"/>
      <w:kern w:val="0"/>
      <w:sz w:val="20"/>
      <w:szCs w:val="20"/>
    </w:rPr>
    <w:tblPr>
      <w:tblBorders>
        <w:top w:val="single" w:color="C0504D" w:sz="8" w:space="0"/>
        <w:bottom w:val="single" w:color="C0504D" w:sz="8" w:space="0"/>
      </w:tblBorders>
      <w:tblLayout w:type="fixed"/>
      <w:tblCellMar>
        <w:top w:w="0" w:type="dxa"/>
        <w:left w:w="108" w:type="dxa"/>
        <w:bottom w:w="0" w:type="dxa"/>
        <w:right w:w="108" w:type="dxa"/>
      </w:tblCellMar>
    </w:tblPr>
    <w:tblStylePr w:type="firstRow">
      <w:pPr>
        <w:spacing w:before="0" w:after="0"/>
      </w:pPr>
      <w:rPr>
        <w:b/>
        <w:bCs/>
      </w:rPr>
      <w:tblPr>
        <w:tblLayout w:type="fixed"/>
      </w:tblPr>
      <w:tcPr>
        <w:tcBorders>
          <w:top w:val="single" w:color="C0504D" w:sz="8" w:space="0"/>
          <w:left w:val="nil"/>
          <w:bottom w:val="single" w:color="C0504D" w:sz="8" w:space="0"/>
          <w:right w:val="nil"/>
          <w:insideH w:val="nil"/>
          <w:insideV w:val="nil"/>
        </w:tcBorders>
      </w:tcPr>
    </w:tblStylePr>
    <w:tblStylePr w:type="lastRow">
      <w:pPr>
        <w:spacing w:before="0" w:after="0"/>
      </w:pPr>
      <w:rPr>
        <w:b/>
        <w:bCs/>
      </w:rPr>
      <w:tblPr>
        <w:tblLayout w:type="fixed"/>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FD3D2"/>
      </w:tcPr>
    </w:tblStylePr>
    <w:tblStylePr w:type="band1Horz">
      <w:tblPr>
        <w:tblLayout w:type="fixed"/>
      </w:tblPr>
      <w:tcPr>
        <w:tcBorders>
          <w:left w:val="nil"/>
          <w:right w:val="nil"/>
          <w:insideH w:val="nil"/>
          <w:insideV w:val="nil"/>
        </w:tcBorders>
        <w:shd w:val="clear" w:color="auto" w:fill="EFD3D2"/>
      </w:tcPr>
    </w:tblStylePr>
  </w:style>
  <w:style w:type="table" w:styleId="37">
    <w:name w:val="Light Shading Accent 3"/>
    <w:basedOn w:val="32"/>
    <w:uiPriority w:val="99"/>
    <w:rPr>
      <w:rFonts w:cs="Cambria"/>
      <w:color w:val="76923C"/>
      <w:kern w:val="0"/>
      <w:sz w:val="20"/>
      <w:szCs w:val="20"/>
    </w:rPr>
    <w:tblPr>
      <w:tblBorders>
        <w:top w:val="single" w:color="9BBB59" w:sz="8" w:space="0"/>
        <w:bottom w:val="single" w:color="9BBB59" w:sz="8" w:space="0"/>
      </w:tblBorders>
      <w:tblLayout w:type="fixed"/>
      <w:tblCellMar>
        <w:top w:w="0" w:type="dxa"/>
        <w:left w:w="108" w:type="dxa"/>
        <w:bottom w:w="0" w:type="dxa"/>
        <w:right w:w="108" w:type="dxa"/>
      </w:tblCellMar>
    </w:tblPr>
    <w:tblStylePr w:type="firstRow">
      <w:pPr>
        <w:spacing w:before="0" w:after="0"/>
      </w:pPr>
      <w:rPr>
        <w:b/>
        <w:bCs/>
      </w:rPr>
      <w:tblPr>
        <w:tblLayout w:type="fixed"/>
      </w:tblPr>
      <w:tcPr>
        <w:tcBorders>
          <w:top w:val="single" w:color="9BBB59" w:sz="8" w:space="0"/>
          <w:left w:val="nil"/>
          <w:bottom w:val="single" w:color="9BBB59" w:sz="8" w:space="0"/>
          <w:right w:val="nil"/>
          <w:insideH w:val="nil"/>
          <w:insideV w:val="nil"/>
        </w:tcBorders>
      </w:tcPr>
    </w:tblStylePr>
    <w:tblStylePr w:type="lastRow">
      <w:pPr>
        <w:spacing w:before="0" w:after="0"/>
      </w:pPr>
      <w:rPr>
        <w:b/>
        <w:bCs/>
      </w:rPr>
      <w:tblPr>
        <w:tblLayout w:type="fixed"/>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6EED5"/>
      </w:tcPr>
    </w:tblStylePr>
    <w:tblStylePr w:type="band1Horz">
      <w:tblPr>
        <w:tblLayout w:type="fixed"/>
      </w:tblPr>
      <w:tcPr>
        <w:tcBorders>
          <w:left w:val="nil"/>
          <w:right w:val="nil"/>
          <w:insideH w:val="nil"/>
          <w:insideV w:val="nil"/>
        </w:tcBorders>
        <w:shd w:val="clear" w:color="auto" w:fill="E6EED5"/>
      </w:tcPr>
    </w:tblStylePr>
  </w:style>
  <w:style w:type="table" w:styleId="38">
    <w:name w:val="Light Shading Accent 4"/>
    <w:basedOn w:val="32"/>
    <w:qFormat/>
    <w:uiPriority w:val="99"/>
    <w:rPr>
      <w:rFonts w:cs="Cambria"/>
      <w:color w:val="5F497A"/>
      <w:kern w:val="0"/>
      <w:sz w:val="20"/>
      <w:szCs w:val="20"/>
    </w:rPr>
    <w:tblPr>
      <w:tblBorders>
        <w:top w:val="single" w:color="8064A2" w:sz="8" w:space="0"/>
        <w:bottom w:val="single" w:color="8064A2" w:sz="8" w:space="0"/>
      </w:tblBorders>
      <w:tblLayout w:type="fixed"/>
      <w:tblCellMar>
        <w:top w:w="0" w:type="dxa"/>
        <w:left w:w="108" w:type="dxa"/>
        <w:bottom w:w="0" w:type="dxa"/>
        <w:right w:w="108" w:type="dxa"/>
      </w:tblCellMar>
    </w:tblPr>
    <w:tblStylePr w:type="firstRow">
      <w:pPr>
        <w:spacing w:before="0" w:after="0"/>
      </w:pPr>
      <w:rPr>
        <w:b/>
        <w:bCs/>
      </w:rPr>
      <w:tblPr>
        <w:tblLayout w:type="fixed"/>
      </w:tblPr>
      <w:tcPr>
        <w:tcBorders>
          <w:top w:val="single" w:color="8064A2" w:sz="8" w:space="0"/>
          <w:left w:val="nil"/>
          <w:bottom w:val="single" w:color="8064A2" w:sz="8" w:space="0"/>
          <w:right w:val="nil"/>
          <w:insideH w:val="nil"/>
          <w:insideV w:val="nil"/>
        </w:tcBorders>
      </w:tcPr>
    </w:tblStylePr>
    <w:tblStylePr w:type="lastRow">
      <w:pPr>
        <w:spacing w:before="0" w:after="0"/>
      </w:pPr>
      <w:rPr>
        <w:b/>
        <w:bCs/>
      </w:rPr>
      <w:tblPr>
        <w:tblLayout w:type="fixed"/>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FD8E8"/>
      </w:tcPr>
    </w:tblStylePr>
    <w:tblStylePr w:type="band1Horz">
      <w:tblPr>
        <w:tblLayout w:type="fixed"/>
      </w:tblPr>
      <w:tcPr>
        <w:tcBorders>
          <w:left w:val="nil"/>
          <w:right w:val="nil"/>
          <w:insideH w:val="nil"/>
          <w:insideV w:val="nil"/>
        </w:tcBorders>
        <w:shd w:val="clear" w:color="auto" w:fill="DFD8E8"/>
      </w:tcPr>
    </w:tblStylePr>
  </w:style>
  <w:style w:type="table" w:styleId="39">
    <w:name w:val="Light Shading Accent 5"/>
    <w:basedOn w:val="32"/>
    <w:uiPriority w:val="99"/>
    <w:rPr>
      <w:rFonts w:cs="Cambria"/>
      <w:color w:val="31849B"/>
      <w:kern w:val="0"/>
      <w:sz w:val="20"/>
      <w:szCs w:val="20"/>
    </w:rPr>
    <w:tblPr>
      <w:tblBorders>
        <w:top w:val="single" w:color="4BACC6" w:sz="8" w:space="0"/>
        <w:bottom w:val="single" w:color="4BACC6" w:sz="8" w:space="0"/>
      </w:tblBorders>
      <w:tblLayout w:type="fixed"/>
      <w:tblCellMar>
        <w:top w:w="0" w:type="dxa"/>
        <w:left w:w="108" w:type="dxa"/>
        <w:bottom w:w="0" w:type="dxa"/>
        <w:right w:w="108" w:type="dxa"/>
      </w:tblCellMar>
    </w:tblPr>
    <w:tblStylePr w:type="firstRow">
      <w:pPr>
        <w:spacing w:before="0" w:after="0"/>
      </w:pPr>
      <w:rPr>
        <w:b/>
        <w:bCs/>
      </w:rPr>
      <w:tblPr>
        <w:tblLayout w:type="fixed"/>
      </w:tblPr>
      <w:tcPr>
        <w:tcBorders>
          <w:top w:val="single" w:color="4BACC6" w:sz="8" w:space="0"/>
          <w:left w:val="nil"/>
          <w:bottom w:val="single" w:color="4BACC6" w:sz="8" w:space="0"/>
          <w:right w:val="nil"/>
          <w:insideH w:val="nil"/>
          <w:insideV w:val="nil"/>
        </w:tcBorders>
      </w:tcPr>
    </w:tblStylePr>
    <w:tblStylePr w:type="lastRow">
      <w:pPr>
        <w:spacing w:before="0" w:after="0"/>
      </w:pPr>
      <w:rPr>
        <w:b/>
        <w:bCs/>
      </w:rPr>
      <w:tblPr>
        <w:tblLayout w:type="fixed"/>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2EAF1"/>
      </w:tcPr>
    </w:tblStylePr>
    <w:tblStylePr w:type="band1Horz">
      <w:tblPr>
        <w:tblLayout w:type="fixed"/>
      </w:tblPr>
      <w:tcPr>
        <w:tcBorders>
          <w:left w:val="nil"/>
          <w:right w:val="nil"/>
          <w:insideH w:val="nil"/>
          <w:insideV w:val="nil"/>
        </w:tcBorders>
        <w:shd w:val="clear" w:color="auto" w:fill="D2EAF1"/>
      </w:tcPr>
    </w:tblStylePr>
  </w:style>
  <w:style w:type="table" w:styleId="40">
    <w:name w:val="Light Shading Accent 6"/>
    <w:basedOn w:val="32"/>
    <w:uiPriority w:val="99"/>
    <w:rPr>
      <w:rFonts w:cs="Cambria"/>
      <w:color w:val="E36C0A"/>
      <w:kern w:val="0"/>
      <w:sz w:val="20"/>
      <w:szCs w:val="20"/>
    </w:rPr>
    <w:tblPr>
      <w:tblBorders>
        <w:top w:val="single" w:color="F79646" w:sz="8" w:space="0"/>
        <w:bottom w:val="single" w:color="F79646" w:sz="8" w:space="0"/>
      </w:tblBorders>
      <w:tblLayout w:type="fixed"/>
      <w:tblCellMar>
        <w:top w:w="0" w:type="dxa"/>
        <w:left w:w="108" w:type="dxa"/>
        <w:bottom w:w="0" w:type="dxa"/>
        <w:right w:w="108" w:type="dxa"/>
      </w:tblCellMar>
    </w:tblPr>
    <w:tblStylePr w:type="firstRow">
      <w:pPr>
        <w:spacing w:before="0" w:after="0"/>
      </w:pPr>
      <w:rPr>
        <w:b/>
        <w:bCs/>
      </w:rPr>
      <w:tblPr>
        <w:tblLayout w:type="fixed"/>
      </w:tblPr>
      <w:tcPr>
        <w:tcBorders>
          <w:top w:val="single" w:color="F79646" w:sz="8" w:space="0"/>
          <w:left w:val="nil"/>
          <w:bottom w:val="single" w:color="F79646" w:sz="8" w:space="0"/>
          <w:right w:val="nil"/>
          <w:insideH w:val="nil"/>
          <w:insideV w:val="nil"/>
        </w:tcBorders>
      </w:tcPr>
    </w:tblStylePr>
    <w:tblStylePr w:type="lastRow">
      <w:pPr>
        <w:spacing w:before="0" w:after="0"/>
      </w:pPr>
      <w:rPr>
        <w:b/>
        <w:bCs/>
      </w:rPr>
      <w:tblPr>
        <w:tblLayout w:type="fixed"/>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DE4D0"/>
      </w:tcPr>
    </w:tblStylePr>
    <w:tblStylePr w:type="band1Horz">
      <w:tblPr>
        <w:tblLayout w:type="fixed"/>
      </w:tblPr>
      <w:tcPr>
        <w:tcBorders>
          <w:left w:val="nil"/>
          <w:right w:val="nil"/>
          <w:insideH w:val="nil"/>
          <w:insideV w:val="nil"/>
        </w:tcBorders>
        <w:shd w:val="clear" w:color="auto" w:fill="FDE4D0"/>
      </w:tcPr>
    </w:tblStylePr>
  </w:style>
  <w:style w:type="table" w:styleId="41">
    <w:name w:val="Light List"/>
    <w:basedOn w:val="32"/>
    <w:uiPriority w:val="99"/>
    <w:rPr>
      <w:rFonts w:cs="Cambria"/>
      <w:kern w:val="0"/>
      <w:sz w:val="20"/>
      <w:szCs w:val="20"/>
    </w:rPr>
    <w:tblPr>
      <w:tblBorders>
        <w:top w:val="single" w:color="000000" w:sz="8" w:space="0"/>
        <w:left w:val="single" w:color="000000" w:sz="8" w:space="0"/>
        <w:bottom w:val="single" w:color="000000" w:sz="8" w:space="0"/>
        <w:right w:val="single" w:color="000000" w:sz="8" w:space="0"/>
      </w:tblBorders>
      <w:tblLayout w:type="fixed"/>
      <w:tblCellMar>
        <w:top w:w="0" w:type="dxa"/>
        <w:left w:w="108" w:type="dxa"/>
        <w:bottom w:w="0" w:type="dxa"/>
        <w:right w:w="108" w:type="dxa"/>
      </w:tblCellMar>
    </w:tblPr>
    <w:tblStylePr w:type="firstRow">
      <w:pPr>
        <w:spacing w:before="0" w:after="0"/>
      </w:pPr>
      <w:rPr>
        <w:b/>
        <w:bCs/>
        <w:color w:val="FFFFFF"/>
      </w:rPr>
      <w:tblPr>
        <w:tblLayout w:type="fixed"/>
      </w:tblPr>
      <w:tcPr>
        <w:shd w:val="clear" w:color="auto" w:fill="000000"/>
      </w:tcPr>
    </w:tblStylePr>
    <w:tblStylePr w:type="lastRow">
      <w:pPr>
        <w:spacing w:before="0" w:after="0"/>
      </w:pPr>
      <w:rPr>
        <w:b/>
        <w:bCs/>
      </w:rPr>
      <w:tblPr>
        <w:tblLayout w:type="fixed"/>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blLayout w:type="fixed"/>
      </w:tblPr>
      <w:tcPr>
        <w:tcBorders>
          <w:top w:val="single" w:color="000000" w:sz="8" w:space="0"/>
          <w:left w:val="single" w:color="000000" w:sz="8" w:space="0"/>
          <w:bottom w:val="single" w:color="000000" w:sz="8" w:space="0"/>
          <w:right w:val="single" w:color="000000" w:sz="8" w:space="0"/>
        </w:tcBorders>
      </w:tcPr>
    </w:tblStylePr>
    <w:tblStylePr w:type="band1Horz">
      <w:tblPr>
        <w:tblLayout w:type="fixed"/>
      </w:tblPr>
      <w:tcPr>
        <w:tcBorders>
          <w:top w:val="single" w:color="000000" w:sz="8" w:space="0"/>
          <w:left w:val="single" w:color="000000" w:sz="8" w:space="0"/>
          <w:bottom w:val="single" w:color="000000" w:sz="8" w:space="0"/>
          <w:right w:val="single" w:color="000000" w:sz="8" w:space="0"/>
        </w:tcBorders>
      </w:tcPr>
    </w:tblStylePr>
  </w:style>
  <w:style w:type="table" w:styleId="42">
    <w:name w:val="Light List Accent 1"/>
    <w:basedOn w:val="32"/>
    <w:uiPriority w:val="99"/>
    <w:rPr>
      <w:rFonts w:cs="Cambria"/>
      <w:kern w:val="0"/>
      <w:sz w:val="20"/>
      <w:szCs w:val="20"/>
    </w:rPr>
    <w:tblPr>
      <w:tblBorders>
        <w:top w:val="single" w:color="4F81BD" w:sz="8" w:space="0"/>
        <w:left w:val="single" w:color="4F81BD" w:sz="8" w:space="0"/>
        <w:bottom w:val="single" w:color="4F81BD" w:sz="8" w:space="0"/>
        <w:right w:val="single" w:color="4F81BD" w:sz="8" w:space="0"/>
      </w:tblBorders>
      <w:tblLayout w:type="fixed"/>
      <w:tblCellMar>
        <w:top w:w="0" w:type="dxa"/>
        <w:left w:w="108" w:type="dxa"/>
        <w:bottom w:w="0" w:type="dxa"/>
        <w:right w:w="108" w:type="dxa"/>
      </w:tblCellMar>
    </w:tblPr>
    <w:tblStylePr w:type="firstRow">
      <w:pPr>
        <w:spacing w:before="0" w:after="0"/>
      </w:pPr>
      <w:rPr>
        <w:b/>
        <w:bCs/>
        <w:color w:val="FFFFFF"/>
      </w:rPr>
      <w:tblPr>
        <w:tblLayout w:type="fixed"/>
      </w:tblPr>
      <w:tcPr>
        <w:shd w:val="clear" w:color="auto" w:fill="4F81BD"/>
      </w:tcPr>
    </w:tblStylePr>
    <w:tblStylePr w:type="lastRow">
      <w:pPr>
        <w:spacing w:before="0" w:after="0"/>
      </w:pPr>
      <w:rPr>
        <w:b/>
        <w:bCs/>
      </w:rPr>
      <w:tblPr>
        <w:tblLayout w:type="fixed"/>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blLayout w:type="fixed"/>
      </w:tblPr>
      <w:tcPr>
        <w:tcBorders>
          <w:top w:val="single" w:color="4F81BD" w:sz="8" w:space="0"/>
          <w:left w:val="single" w:color="4F81BD" w:sz="8" w:space="0"/>
          <w:bottom w:val="single" w:color="4F81BD" w:sz="8" w:space="0"/>
          <w:right w:val="single" w:color="4F81BD" w:sz="8" w:space="0"/>
        </w:tcBorders>
      </w:tcPr>
    </w:tblStylePr>
    <w:tblStylePr w:type="band1Horz">
      <w:tblPr>
        <w:tblLayout w:type="fixed"/>
      </w:tblPr>
      <w:tcPr>
        <w:tcBorders>
          <w:top w:val="single" w:color="4F81BD" w:sz="8" w:space="0"/>
          <w:left w:val="single" w:color="4F81BD" w:sz="8" w:space="0"/>
          <w:bottom w:val="single" w:color="4F81BD" w:sz="8" w:space="0"/>
          <w:right w:val="single" w:color="4F81BD" w:sz="8" w:space="0"/>
        </w:tcBorders>
      </w:tcPr>
    </w:tblStylePr>
  </w:style>
  <w:style w:type="table" w:styleId="43">
    <w:name w:val="Light List Accent 2"/>
    <w:basedOn w:val="32"/>
    <w:uiPriority w:val="99"/>
    <w:rPr>
      <w:rFonts w:cs="Cambria"/>
      <w:kern w:val="0"/>
      <w:sz w:val="20"/>
      <w:szCs w:val="20"/>
    </w:rPr>
    <w:tblPr>
      <w:tblBorders>
        <w:top w:val="single" w:color="C0504D" w:sz="8" w:space="0"/>
        <w:left w:val="single" w:color="C0504D" w:sz="8" w:space="0"/>
        <w:bottom w:val="single" w:color="C0504D" w:sz="8" w:space="0"/>
        <w:right w:val="single" w:color="C0504D" w:sz="8" w:space="0"/>
      </w:tblBorders>
      <w:tblLayout w:type="fixed"/>
      <w:tblCellMar>
        <w:top w:w="0" w:type="dxa"/>
        <w:left w:w="108" w:type="dxa"/>
        <w:bottom w:w="0" w:type="dxa"/>
        <w:right w:w="108" w:type="dxa"/>
      </w:tblCellMar>
    </w:tblPr>
    <w:tblStylePr w:type="firstRow">
      <w:pPr>
        <w:spacing w:before="0" w:after="0"/>
      </w:pPr>
      <w:rPr>
        <w:b/>
        <w:bCs/>
        <w:color w:val="FFFFFF"/>
      </w:rPr>
      <w:tblPr>
        <w:tblLayout w:type="fixed"/>
      </w:tblPr>
      <w:tcPr>
        <w:shd w:val="clear" w:color="auto" w:fill="C0504D"/>
      </w:tcPr>
    </w:tblStylePr>
    <w:tblStylePr w:type="lastRow">
      <w:pPr>
        <w:spacing w:before="0" w:after="0"/>
      </w:pPr>
      <w:rPr>
        <w:b/>
        <w:bCs/>
      </w:rPr>
      <w:tblPr>
        <w:tblLayout w:type="fixed"/>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blLayout w:type="fixed"/>
      </w:tblPr>
      <w:tcPr>
        <w:tcBorders>
          <w:top w:val="single" w:color="C0504D" w:sz="8" w:space="0"/>
          <w:left w:val="single" w:color="C0504D" w:sz="8" w:space="0"/>
          <w:bottom w:val="single" w:color="C0504D" w:sz="8" w:space="0"/>
          <w:right w:val="single" w:color="C0504D" w:sz="8" w:space="0"/>
        </w:tcBorders>
      </w:tcPr>
    </w:tblStylePr>
    <w:tblStylePr w:type="band1Horz">
      <w:tblPr>
        <w:tblLayout w:type="fixed"/>
      </w:tblPr>
      <w:tcPr>
        <w:tcBorders>
          <w:top w:val="single" w:color="C0504D" w:sz="8" w:space="0"/>
          <w:left w:val="single" w:color="C0504D" w:sz="8" w:space="0"/>
          <w:bottom w:val="single" w:color="C0504D" w:sz="8" w:space="0"/>
          <w:right w:val="single" w:color="C0504D" w:sz="8" w:space="0"/>
        </w:tcBorders>
      </w:tcPr>
    </w:tblStylePr>
  </w:style>
  <w:style w:type="table" w:styleId="44">
    <w:name w:val="Light List Accent 3"/>
    <w:basedOn w:val="32"/>
    <w:qFormat/>
    <w:uiPriority w:val="99"/>
    <w:rPr>
      <w:rFonts w:cs="Cambria"/>
      <w:kern w:val="0"/>
      <w:sz w:val="20"/>
      <w:szCs w:val="20"/>
    </w:rPr>
    <w:tblPr>
      <w:tblBorders>
        <w:top w:val="single" w:color="9BBB59" w:sz="8" w:space="0"/>
        <w:left w:val="single" w:color="9BBB59" w:sz="8" w:space="0"/>
        <w:bottom w:val="single" w:color="9BBB59" w:sz="8" w:space="0"/>
        <w:right w:val="single" w:color="9BBB59" w:sz="8" w:space="0"/>
      </w:tblBorders>
      <w:tblLayout w:type="fixed"/>
      <w:tblCellMar>
        <w:top w:w="0" w:type="dxa"/>
        <w:left w:w="108" w:type="dxa"/>
        <w:bottom w:w="0" w:type="dxa"/>
        <w:right w:w="108" w:type="dxa"/>
      </w:tblCellMar>
    </w:tblPr>
    <w:tblStylePr w:type="firstRow">
      <w:pPr>
        <w:spacing w:before="0" w:after="0"/>
      </w:pPr>
      <w:rPr>
        <w:b/>
        <w:bCs/>
        <w:color w:val="FFFFFF"/>
      </w:rPr>
      <w:tblPr>
        <w:tblLayout w:type="fixed"/>
      </w:tblPr>
      <w:tcPr>
        <w:shd w:val="clear" w:color="auto" w:fill="9BBB59"/>
      </w:tcPr>
    </w:tblStylePr>
    <w:tblStylePr w:type="lastRow">
      <w:pPr>
        <w:spacing w:before="0" w:after="0"/>
      </w:pPr>
      <w:rPr>
        <w:b/>
        <w:bCs/>
      </w:rPr>
      <w:tblPr>
        <w:tblLayout w:type="fixed"/>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blLayout w:type="fixed"/>
      </w:tblPr>
      <w:tcPr>
        <w:tcBorders>
          <w:top w:val="single" w:color="9BBB59" w:sz="8" w:space="0"/>
          <w:left w:val="single" w:color="9BBB59" w:sz="8" w:space="0"/>
          <w:bottom w:val="single" w:color="9BBB59" w:sz="8" w:space="0"/>
          <w:right w:val="single" w:color="9BBB59" w:sz="8" w:space="0"/>
        </w:tcBorders>
      </w:tcPr>
    </w:tblStylePr>
    <w:tblStylePr w:type="band1Horz">
      <w:tblPr>
        <w:tblLayout w:type="fixed"/>
      </w:tblPr>
      <w:tcPr>
        <w:tcBorders>
          <w:top w:val="single" w:color="9BBB59" w:sz="8" w:space="0"/>
          <w:left w:val="single" w:color="9BBB59" w:sz="8" w:space="0"/>
          <w:bottom w:val="single" w:color="9BBB59" w:sz="8" w:space="0"/>
          <w:right w:val="single" w:color="9BBB59" w:sz="8" w:space="0"/>
        </w:tcBorders>
      </w:tcPr>
    </w:tblStylePr>
  </w:style>
  <w:style w:type="table" w:styleId="45">
    <w:name w:val="Light List Accent 4"/>
    <w:basedOn w:val="32"/>
    <w:qFormat/>
    <w:uiPriority w:val="99"/>
    <w:rPr>
      <w:rFonts w:cs="Cambria"/>
      <w:kern w:val="0"/>
      <w:sz w:val="20"/>
      <w:szCs w:val="20"/>
    </w:rPr>
    <w:tblPr>
      <w:tblBorders>
        <w:top w:val="single" w:color="8064A2" w:sz="8" w:space="0"/>
        <w:left w:val="single" w:color="8064A2" w:sz="8" w:space="0"/>
        <w:bottom w:val="single" w:color="8064A2" w:sz="8" w:space="0"/>
        <w:right w:val="single" w:color="8064A2" w:sz="8" w:space="0"/>
      </w:tblBorders>
      <w:tblLayout w:type="fixed"/>
      <w:tblCellMar>
        <w:top w:w="0" w:type="dxa"/>
        <w:left w:w="108" w:type="dxa"/>
        <w:bottom w:w="0" w:type="dxa"/>
        <w:right w:w="108" w:type="dxa"/>
      </w:tblCellMar>
    </w:tblPr>
    <w:tblStylePr w:type="firstRow">
      <w:pPr>
        <w:spacing w:before="0" w:after="0"/>
      </w:pPr>
      <w:rPr>
        <w:b/>
        <w:bCs/>
        <w:color w:val="FFFFFF"/>
      </w:rPr>
      <w:tblPr>
        <w:tblLayout w:type="fixed"/>
      </w:tblPr>
      <w:tcPr>
        <w:shd w:val="clear" w:color="auto" w:fill="8064A2"/>
      </w:tcPr>
    </w:tblStylePr>
    <w:tblStylePr w:type="lastRow">
      <w:pPr>
        <w:spacing w:before="0" w:after="0"/>
      </w:pPr>
      <w:rPr>
        <w:b/>
        <w:bCs/>
      </w:rPr>
      <w:tblPr>
        <w:tblLayout w:type="fixed"/>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blLayout w:type="fixed"/>
      </w:tblPr>
      <w:tcPr>
        <w:tcBorders>
          <w:top w:val="single" w:color="8064A2" w:sz="8" w:space="0"/>
          <w:left w:val="single" w:color="8064A2" w:sz="8" w:space="0"/>
          <w:bottom w:val="single" w:color="8064A2" w:sz="8" w:space="0"/>
          <w:right w:val="single" w:color="8064A2" w:sz="8" w:space="0"/>
        </w:tcBorders>
      </w:tcPr>
    </w:tblStylePr>
    <w:tblStylePr w:type="band1Horz">
      <w:tblPr>
        <w:tblLayout w:type="fixed"/>
      </w:tblPr>
      <w:tcPr>
        <w:tcBorders>
          <w:top w:val="single" w:color="8064A2" w:sz="8" w:space="0"/>
          <w:left w:val="single" w:color="8064A2" w:sz="8" w:space="0"/>
          <w:bottom w:val="single" w:color="8064A2" w:sz="8" w:space="0"/>
          <w:right w:val="single" w:color="8064A2" w:sz="8" w:space="0"/>
        </w:tcBorders>
      </w:tcPr>
    </w:tblStylePr>
  </w:style>
  <w:style w:type="table" w:styleId="46">
    <w:name w:val="Light List Accent 5"/>
    <w:basedOn w:val="32"/>
    <w:qFormat/>
    <w:uiPriority w:val="99"/>
    <w:rPr>
      <w:rFonts w:cs="Cambria"/>
      <w:kern w:val="0"/>
      <w:sz w:val="20"/>
      <w:szCs w:val="20"/>
    </w:rPr>
    <w:tblPr>
      <w:tblBorders>
        <w:top w:val="single" w:color="4BACC6" w:sz="8" w:space="0"/>
        <w:left w:val="single" w:color="4BACC6" w:sz="8" w:space="0"/>
        <w:bottom w:val="single" w:color="4BACC6" w:sz="8" w:space="0"/>
        <w:right w:val="single" w:color="4BACC6" w:sz="8" w:space="0"/>
      </w:tblBorders>
      <w:tblLayout w:type="fixed"/>
      <w:tblCellMar>
        <w:top w:w="0" w:type="dxa"/>
        <w:left w:w="108" w:type="dxa"/>
        <w:bottom w:w="0" w:type="dxa"/>
        <w:right w:w="108" w:type="dxa"/>
      </w:tblCellMar>
    </w:tblPr>
    <w:tblStylePr w:type="firstRow">
      <w:pPr>
        <w:spacing w:before="0" w:after="0"/>
      </w:pPr>
      <w:rPr>
        <w:b/>
        <w:bCs/>
        <w:color w:val="FFFFFF"/>
      </w:rPr>
      <w:tblPr>
        <w:tblLayout w:type="fixed"/>
      </w:tblPr>
      <w:tcPr>
        <w:shd w:val="clear" w:color="auto" w:fill="4BACC6"/>
      </w:tcPr>
    </w:tblStylePr>
    <w:tblStylePr w:type="lastRow">
      <w:pPr>
        <w:spacing w:before="0" w:after="0"/>
      </w:pPr>
      <w:rPr>
        <w:b/>
        <w:bCs/>
      </w:rPr>
      <w:tblPr>
        <w:tblLayout w:type="fixed"/>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blLayout w:type="fixed"/>
      </w:tblPr>
      <w:tcPr>
        <w:tcBorders>
          <w:top w:val="single" w:color="4BACC6" w:sz="8" w:space="0"/>
          <w:left w:val="single" w:color="4BACC6" w:sz="8" w:space="0"/>
          <w:bottom w:val="single" w:color="4BACC6" w:sz="8" w:space="0"/>
          <w:right w:val="single" w:color="4BACC6" w:sz="8" w:space="0"/>
        </w:tcBorders>
      </w:tcPr>
    </w:tblStylePr>
    <w:tblStylePr w:type="band1Horz">
      <w:tblPr>
        <w:tblLayout w:type="fixed"/>
      </w:tblPr>
      <w:tcPr>
        <w:tcBorders>
          <w:top w:val="single" w:color="4BACC6" w:sz="8" w:space="0"/>
          <w:left w:val="single" w:color="4BACC6" w:sz="8" w:space="0"/>
          <w:bottom w:val="single" w:color="4BACC6" w:sz="8" w:space="0"/>
          <w:right w:val="single" w:color="4BACC6" w:sz="8" w:space="0"/>
        </w:tcBorders>
      </w:tcPr>
    </w:tblStylePr>
  </w:style>
  <w:style w:type="table" w:styleId="47">
    <w:name w:val="Light List Accent 6"/>
    <w:basedOn w:val="32"/>
    <w:qFormat/>
    <w:uiPriority w:val="99"/>
    <w:rPr>
      <w:rFonts w:cs="Cambria"/>
      <w:kern w:val="0"/>
      <w:sz w:val="20"/>
      <w:szCs w:val="20"/>
    </w:rPr>
    <w:tblPr>
      <w:tblBorders>
        <w:top w:val="single" w:color="F79646" w:sz="8" w:space="0"/>
        <w:left w:val="single" w:color="F79646" w:sz="8" w:space="0"/>
        <w:bottom w:val="single" w:color="F79646" w:sz="8" w:space="0"/>
        <w:right w:val="single" w:color="F79646" w:sz="8" w:space="0"/>
      </w:tblBorders>
      <w:tblLayout w:type="fixed"/>
      <w:tblCellMar>
        <w:top w:w="0" w:type="dxa"/>
        <w:left w:w="108" w:type="dxa"/>
        <w:bottom w:w="0" w:type="dxa"/>
        <w:right w:w="108" w:type="dxa"/>
      </w:tblCellMar>
    </w:tblPr>
    <w:tblStylePr w:type="firstRow">
      <w:pPr>
        <w:spacing w:before="0" w:after="0"/>
      </w:pPr>
      <w:rPr>
        <w:b/>
        <w:bCs/>
        <w:color w:val="FFFFFF"/>
      </w:rPr>
      <w:tblPr>
        <w:tblLayout w:type="fixed"/>
      </w:tblPr>
      <w:tcPr>
        <w:shd w:val="clear" w:color="auto" w:fill="F79646"/>
      </w:tcPr>
    </w:tblStylePr>
    <w:tblStylePr w:type="lastRow">
      <w:pPr>
        <w:spacing w:before="0" w:after="0"/>
      </w:pPr>
      <w:rPr>
        <w:b/>
        <w:bCs/>
      </w:rPr>
      <w:tblPr>
        <w:tblLayout w:type="fixed"/>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blLayout w:type="fixed"/>
      </w:tblPr>
      <w:tcPr>
        <w:tcBorders>
          <w:top w:val="single" w:color="F79646" w:sz="8" w:space="0"/>
          <w:left w:val="single" w:color="F79646" w:sz="8" w:space="0"/>
          <w:bottom w:val="single" w:color="F79646" w:sz="8" w:space="0"/>
          <w:right w:val="single" w:color="F79646" w:sz="8" w:space="0"/>
        </w:tcBorders>
      </w:tcPr>
    </w:tblStylePr>
    <w:tblStylePr w:type="band1Horz">
      <w:tblPr>
        <w:tblLayout w:type="fixed"/>
      </w:tblPr>
      <w:tcPr>
        <w:tcBorders>
          <w:top w:val="single" w:color="F79646" w:sz="8" w:space="0"/>
          <w:left w:val="single" w:color="F79646" w:sz="8" w:space="0"/>
          <w:bottom w:val="single" w:color="F79646" w:sz="8" w:space="0"/>
          <w:right w:val="single" w:color="F79646" w:sz="8" w:space="0"/>
        </w:tcBorders>
      </w:tcPr>
    </w:tblStylePr>
  </w:style>
  <w:style w:type="table" w:styleId="48">
    <w:name w:val="Light Grid"/>
    <w:basedOn w:val="32"/>
    <w:qFormat/>
    <w:uiPriority w:val="99"/>
    <w:rPr>
      <w:rFonts w:cs="Cambria"/>
      <w:kern w:val="0"/>
      <w:sz w:val="20"/>
      <w:szCs w:val="2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StylePr w:type="firstRow">
      <w:pPr>
        <w:spacing w:before="0" w:after="0"/>
      </w:pPr>
      <w:rPr>
        <w:rFonts w:ascii="Calibri" w:hAnsi="Calibri" w:eastAsia="MS Gothic" w:cs="Calibri"/>
        <w:b/>
        <w:bCs/>
      </w:rPr>
      <w:tblPr>
        <w:tblLayout w:type="fixed"/>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pPr>
      <w:rPr>
        <w:rFonts w:ascii="Calibri" w:hAnsi="Calibri" w:eastAsia="MS Gothic" w:cs="Calibri"/>
        <w:b/>
        <w:bCs/>
      </w:rPr>
      <w:tblPr>
        <w:tblLayout w:type="fixed"/>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libri" w:hAnsi="Calibri" w:eastAsia="MS Gothic" w:cs="Calibri"/>
        <w:b/>
        <w:bCs/>
      </w:rPr>
    </w:tblStylePr>
    <w:tblStylePr w:type="lastCol">
      <w:rPr>
        <w:rFonts w:ascii="Calibri" w:hAnsi="Calibri" w:eastAsia="MS Gothic" w:cs="Calibri"/>
        <w:b/>
        <w:bCs/>
      </w:rPr>
      <w:tblPr>
        <w:tblLayout w:type="fixed"/>
      </w:tblPr>
      <w:tcPr>
        <w:tcBorders>
          <w:top w:val="single" w:color="000000" w:sz="8" w:space="0"/>
          <w:left w:val="single" w:color="000000" w:sz="8" w:space="0"/>
          <w:bottom w:val="single" w:color="000000" w:sz="8" w:space="0"/>
          <w:right w:val="single" w:color="000000" w:sz="8" w:space="0"/>
        </w:tcBorders>
      </w:tcPr>
    </w:tblStylePr>
    <w:tblStylePr w:type="band1Vert">
      <w:tblPr>
        <w:tblLayout w:type="fixed"/>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blLayout w:type="fixed"/>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blLayout w:type="fixed"/>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49">
    <w:name w:val="Light Grid Accent 1"/>
    <w:basedOn w:val="32"/>
    <w:qFormat/>
    <w:uiPriority w:val="99"/>
    <w:rPr>
      <w:rFonts w:cs="Cambria"/>
      <w:kern w:val="0"/>
      <w:sz w:val="20"/>
      <w:szCs w:val="2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108" w:type="dxa"/>
        <w:bottom w:w="0" w:type="dxa"/>
        <w:right w:w="108" w:type="dxa"/>
      </w:tblCellMar>
    </w:tblPr>
    <w:tblStylePr w:type="firstRow">
      <w:pPr>
        <w:spacing w:before="0" w:after="0"/>
      </w:pPr>
      <w:rPr>
        <w:rFonts w:ascii="Calibri" w:hAnsi="Calibri" w:eastAsia="MS Gothic" w:cs="Calibri"/>
        <w:b/>
        <w:bCs/>
      </w:rPr>
      <w:tblPr>
        <w:tblLayout w:type="fixed"/>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pPr>
      <w:rPr>
        <w:rFonts w:ascii="Calibri" w:hAnsi="Calibri" w:eastAsia="MS Gothic" w:cs="Calibri"/>
        <w:b/>
        <w:bCs/>
      </w:rPr>
      <w:tblPr>
        <w:tblLayout w:type="fixed"/>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libri" w:hAnsi="Calibri" w:eastAsia="MS Gothic" w:cs="Calibri"/>
        <w:b/>
        <w:bCs/>
      </w:rPr>
    </w:tblStylePr>
    <w:tblStylePr w:type="lastCol">
      <w:rPr>
        <w:rFonts w:ascii="Calibri" w:hAnsi="Calibri" w:eastAsia="MS Gothic" w:cs="Calibri"/>
        <w:b/>
        <w:bCs/>
      </w:rPr>
      <w:tblPr>
        <w:tblLayout w:type="fixed"/>
      </w:tblPr>
      <w:tcPr>
        <w:tcBorders>
          <w:top w:val="single" w:color="4F81BD" w:sz="8" w:space="0"/>
          <w:left w:val="single" w:color="4F81BD" w:sz="8" w:space="0"/>
          <w:bottom w:val="single" w:color="4F81BD" w:sz="8" w:space="0"/>
          <w:right w:val="single" w:color="4F81BD" w:sz="8" w:space="0"/>
        </w:tcBorders>
      </w:tcPr>
    </w:tblStylePr>
    <w:tblStylePr w:type="band1Vert">
      <w:tblPr>
        <w:tblLayout w:type="fixed"/>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blLayout w:type="fixed"/>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blLayout w:type="fixed"/>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50">
    <w:name w:val="Light Grid Accent 2"/>
    <w:basedOn w:val="32"/>
    <w:uiPriority w:val="99"/>
    <w:rPr>
      <w:rFonts w:cs="Cambria"/>
      <w:kern w:val="0"/>
      <w:sz w:val="20"/>
      <w:szCs w:val="2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Layout w:type="fixed"/>
      <w:tblCellMar>
        <w:top w:w="0" w:type="dxa"/>
        <w:left w:w="108" w:type="dxa"/>
        <w:bottom w:w="0" w:type="dxa"/>
        <w:right w:w="108" w:type="dxa"/>
      </w:tblCellMar>
    </w:tblPr>
    <w:tblStylePr w:type="firstRow">
      <w:pPr>
        <w:spacing w:before="0" w:after="0"/>
      </w:pPr>
      <w:rPr>
        <w:rFonts w:ascii="Calibri" w:hAnsi="Calibri" w:eastAsia="MS Gothic" w:cs="Calibri"/>
        <w:b/>
        <w:bCs/>
      </w:rPr>
      <w:tblPr>
        <w:tblLayout w:type="fixed"/>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pPr>
      <w:rPr>
        <w:rFonts w:ascii="Calibri" w:hAnsi="Calibri" w:eastAsia="MS Gothic" w:cs="Calibri"/>
        <w:b/>
        <w:bCs/>
      </w:rPr>
      <w:tblPr>
        <w:tblLayout w:type="fixed"/>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libri" w:hAnsi="Calibri" w:eastAsia="MS Gothic" w:cs="Calibri"/>
        <w:b/>
        <w:bCs/>
      </w:rPr>
    </w:tblStylePr>
    <w:tblStylePr w:type="lastCol">
      <w:rPr>
        <w:rFonts w:ascii="Calibri" w:hAnsi="Calibri" w:eastAsia="MS Gothic" w:cs="Calibri"/>
        <w:b/>
        <w:bCs/>
      </w:rPr>
      <w:tblPr>
        <w:tblLayout w:type="fixed"/>
      </w:tblPr>
      <w:tcPr>
        <w:tcBorders>
          <w:top w:val="single" w:color="C0504D" w:sz="8" w:space="0"/>
          <w:left w:val="single" w:color="C0504D" w:sz="8" w:space="0"/>
          <w:bottom w:val="single" w:color="C0504D" w:sz="8" w:space="0"/>
          <w:right w:val="single" w:color="C0504D" w:sz="8" w:space="0"/>
        </w:tcBorders>
      </w:tcPr>
    </w:tblStylePr>
    <w:tblStylePr w:type="band1Vert">
      <w:tblPr>
        <w:tblLayout w:type="fixed"/>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blLayout w:type="fixed"/>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blLayout w:type="fixed"/>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51">
    <w:name w:val="Light Grid Accent 3"/>
    <w:basedOn w:val="32"/>
    <w:uiPriority w:val="99"/>
    <w:rPr>
      <w:rFonts w:cs="Cambria"/>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Layout w:type="fixed"/>
      <w:tblCellMar>
        <w:top w:w="0" w:type="dxa"/>
        <w:left w:w="108" w:type="dxa"/>
        <w:bottom w:w="0" w:type="dxa"/>
        <w:right w:w="108" w:type="dxa"/>
      </w:tblCellMar>
    </w:tblPr>
    <w:tblStylePr w:type="firstRow">
      <w:pPr>
        <w:spacing w:before="0" w:after="0"/>
      </w:pPr>
      <w:rPr>
        <w:rFonts w:ascii="Calibri" w:hAnsi="Calibri" w:eastAsia="MS Gothic" w:cs="Calibri"/>
        <w:b/>
        <w:bCs/>
      </w:rPr>
      <w:tblPr>
        <w:tblLayout w:type="fixed"/>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pPr>
      <w:rPr>
        <w:rFonts w:ascii="Calibri" w:hAnsi="Calibri" w:eastAsia="MS Gothic" w:cs="Calibri"/>
        <w:b/>
        <w:bCs/>
      </w:rPr>
      <w:tblPr>
        <w:tblLayout w:type="fixed"/>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libri" w:hAnsi="Calibri" w:eastAsia="MS Gothic" w:cs="Calibri"/>
        <w:b/>
        <w:bCs/>
      </w:rPr>
    </w:tblStylePr>
    <w:tblStylePr w:type="lastCol">
      <w:rPr>
        <w:rFonts w:ascii="Calibri" w:hAnsi="Calibri" w:eastAsia="MS Gothic" w:cs="Calibri"/>
        <w:b/>
        <w:bCs/>
      </w:rPr>
      <w:tblPr>
        <w:tblLayout w:type="fixed"/>
      </w:tblPr>
      <w:tcPr>
        <w:tcBorders>
          <w:top w:val="single" w:color="9BBB59" w:sz="8" w:space="0"/>
          <w:left w:val="single" w:color="9BBB59" w:sz="8" w:space="0"/>
          <w:bottom w:val="single" w:color="9BBB59" w:sz="8" w:space="0"/>
          <w:right w:val="single" w:color="9BBB59" w:sz="8" w:space="0"/>
        </w:tcBorders>
      </w:tcPr>
    </w:tblStylePr>
    <w:tblStylePr w:type="band1Vert">
      <w:tblPr>
        <w:tblLayout w:type="fixed"/>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blLayout w:type="fixed"/>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blLayout w:type="fixed"/>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52">
    <w:name w:val="Light Grid Accent 4"/>
    <w:basedOn w:val="32"/>
    <w:uiPriority w:val="99"/>
    <w:rPr>
      <w:rFonts w:cs="Cambria"/>
      <w:kern w:val="0"/>
      <w:sz w:val="20"/>
      <w:szCs w:val="2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Layout w:type="fixed"/>
      <w:tblCellMar>
        <w:top w:w="0" w:type="dxa"/>
        <w:left w:w="108" w:type="dxa"/>
        <w:bottom w:w="0" w:type="dxa"/>
        <w:right w:w="108" w:type="dxa"/>
      </w:tblCellMar>
    </w:tblPr>
    <w:tblStylePr w:type="firstRow">
      <w:pPr>
        <w:spacing w:before="0" w:after="0"/>
      </w:pPr>
      <w:rPr>
        <w:rFonts w:ascii="Calibri" w:hAnsi="Calibri" w:eastAsia="MS Gothic" w:cs="Calibri"/>
        <w:b/>
        <w:bCs/>
      </w:rPr>
      <w:tblPr>
        <w:tblLayout w:type="fixed"/>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pPr>
      <w:rPr>
        <w:rFonts w:ascii="Calibri" w:hAnsi="Calibri" w:eastAsia="MS Gothic" w:cs="Calibri"/>
        <w:b/>
        <w:bCs/>
      </w:rPr>
      <w:tblPr>
        <w:tblLayout w:type="fixed"/>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libri" w:hAnsi="Calibri" w:eastAsia="MS Gothic" w:cs="Calibri"/>
        <w:b/>
        <w:bCs/>
      </w:rPr>
    </w:tblStylePr>
    <w:tblStylePr w:type="lastCol">
      <w:rPr>
        <w:rFonts w:ascii="Calibri" w:hAnsi="Calibri" w:eastAsia="MS Gothic" w:cs="Calibri"/>
        <w:b/>
        <w:bCs/>
      </w:rPr>
      <w:tblPr>
        <w:tblLayout w:type="fixed"/>
      </w:tblPr>
      <w:tcPr>
        <w:tcBorders>
          <w:top w:val="single" w:color="8064A2" w:sz="8" w:space="0"/>
          <w:left w:val="single" w:color="8064A2" w:sz="8" w:space="0"/>
          <w:bottom w:val="single" w:color="8064A2" w:sz="8" w:space="0"/>
          <w:right w:val="single" w:color="8064A2" w:sz="8" w:space="0"/>
        </w:tcBorders>
      </w:tcPr>
    </w:tblStylePr>
    <w:tblStylePr w:type="band1Vert">
      <w:tblPr>
        <w:tblLayout w:type="fixed"/>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blLayout w:type="fixed"/>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blLayout w:type="fixed"/>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53">
    <w:name w:val="Light Grid Accent 5"/>
    <w:basedOn w:val="32"/>
    <w:uiPriority w:val="99"/>
    <w:rPr>
      <w:rFonts w:cs="Cambria"/>
      <w:kern w:val="0"/>
      <w:sz w:val="20"/>
      <w:szCs w:val="2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Layout w:type="fixed"/>
      <w:tblCellMar>
        <w:top w:w="0" w:type="dxa"/>
        <w:left w:w="108" w:type="dxa"/>
        <w:bottom w:w="0" w:type="dxa"/>
        <w:right w:w="108" w:type="dxa"/>
      </w:tblCellMar>
    </w:tblPr>
    <w:tblStylePr w:type="firstRow">
      <w:pPr>
        <w:spacing w:before="0" w:after="0"/>
      </w:pPr>
      <w:rPr>
        <w:rFonts w:ascii="Calibri" w:hAnsi="Calibri" w:eastAsia="MS Gothic" w:cs="Calibri"/>
        <w:b/>
        <w:bCs/>
      </w:rPr>
      <w:tblPr>
        <w:tblLayout w:type="fixed"/>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pPr>
      <w:rPr>
        <w:rFonts w:ascii="Calibri" w:hAnsi="Calibri" w:eastAsia="MS Gothic" w:cs="Calibri"/>
        <w:b/>
        <w:bCs/>
      </w:rPr>
      <w:tblPr>
        <w:tblLayout w:type="fixed"/>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libri" w:hAnsi="Calibri" w:eastAsia="MS Gothic" w:cs="Calibri"/>
        <w:b/>
        <w:bCs/>
      </w:rPr>
    </w:tblStylePr>
    <w:tblStylePr w:type="lastCol">
      <w:rPr>
        <w:rFonts w:ascii="Calibri" w:hAnsi="Calibri" w:eastAsia="MS Gothic" w:cs="Calibri"/>
        <w:b/>
        <w:bCs/>
      </w:rPr>
      <w:tblPr>
        <w:tblLayout w:type="fixed"/>
      </w:tblPr>
      <w:tcPr>
        <w:tcBorders>
          <w:top w:val="single" w:color="4BACC6" w:sz="8" w:space="0"/>
          <w:left w:val="single" w:color="4BACC6" w:sz="8" w:space="0"/>
          <w:bottom w:val="single" w:color="4BACC6" w:sz="8" w:space="0"/>
          <w:right w:val="single" w:color="4BACC6" w:sz="8" w:space="0"/>
        </w:tcBorders>
      </w:tcPr>
    </w:tblStylePr>
    <w:tblStylePr w:type="band1Vert">
      <w:tblPr>
        <w:tblLayout w:type="fixed"/>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blLayout w:type="fixed"/>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blLayout w:type="fixed"/>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54">
    <w:name w:val="Light Grid Accent 6"/>
    <w:basedOn w:val="32"/>
    <w:qFormat/>
    <w:uiPriority w:val="99"/>
    <w:rPr>
      <w:rFonts w:cs="Cambria"/>
      <w:kern w:val="0"/>
      <w:sz w:val="20"/>
      <w:szCs w:val="2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Layout w:type="fixed"/>
      <w:tblCellMar>
        <w:top w:w="0" w:type="dxa"/>
        <w:left w:w="108" w:type="dxa"/>
        <w:bottom w:w="0" w:type="dxa"/>
        <w:right w:w="108" w:type="dxa"/>
      </w:tblCellMar>
    </w:tblPr>
    <w:tblStylePr w:type="firstRow">
      <w:pPr>
        <w:spacing w:before="0" w:after="0"/>
      </w:pPr>
      <w:rPr>
        <w:rFonts w:ascii="Calibri" w:hAnsi="Calibri" w:eastAsia="MS Gothic" w:cs="Calibri"/>
        <w:b/>
        <w:bCs/>
      </w:rPr>
      <w:tblPr>
        <w:tblLayout w:type="fixed"/>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pPr>
      <w:rPr>
        <w:rFonts w:ascii="Calibri" w:hAnsi="Calibri" w:eastAsia="MS Gothic" w:cs="Calibri"/>
        <w:b/>
        <w:bCs/>
      </w:rPr>
      <w:tblPr>
        <w:tblLayout w:type="fixed"/>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libri" w:hAnsi="Calibri" w:eastAsia="MS Gothic" w:cs="Calibri"/>
        <w:b/>
        <w:bCs/>
      </w:rPr>
    </w:tblStylePr>
    <w:tblStylePr w:type="lastCol">
      <w:rPr>
        <w:rFonts w:ascii="Calibri" w:hAnsi="Calibri" w:eastAsia="MS Gothic" w:cs="Calibri"/>
        <w:b/>
        <w:bCs/>
      </w:rPr>
      <w:tblPr>
        <w:tblLayout w:type="fixed"/>
      </w:tblPr>
      <w:tcPr>
        <w:tcBorders>
          <w:top w:val="single" w:color="F79646" w:sz="8" w:space="0"/>
          <w:left w:val="single" w:color="F79646" w:sz="8" w:space="0"/>
          <w:bottom w:val="single" w:color="F79646" w:sz="8" w:space="0"/>
          <w:right w:val="single" w:color="F79646" w:sz="8" w:space="0"/>
        </w:tcBorders>
      </w:tcPr>
    </w:tblStylePr>
    <w:tblStylePr w:type="band1Vert">
      <w:tblPr>
        <w:tblLayout w:type="fixed"/>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blLayout w:type="fixed"/>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blLayout w:type="fixed"/>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55">
    <w:name w:val="Medium Shading 1"/>
    <w:basedOn w:val="32"/>
    <w:qFormat/>
    <w:uiPriority w:val="99"/>
    <w:rPr>
      <w:rFonts w:cs="Cambria"/>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Layout w:type="fixed"/>
      <w:tblCellMar>
        <w:top w:w="0" w:type="dxa"/>
        <w:left w:w="108" w:type="dxa"/>
        <w:bottom w:w="0" w:type="dxa"/>
        <w:right w:w="108" w:type="dxa"/>
      </w:tblCellMar>
    </w:tblPr>
    <w:tblStylePr w:type="firstRow">
      <w:pPr>
        <w:spacing w:before="0" w:after="0"/>
      </w:pPr>
      <w:rPr>
        <w:b/>
        <w:bCs/>
        <w:color w:val="FFFFFF"/>
      </w:rPr>
      <w:tblPr>
        <w:tblLayout w:type="fixed"/>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pPr>
      <w:rPr>
        <w:b/>
        <w:bCs/>
      </w:rPr>
      <w:tblPr>
        <w:tblLayout w:type="fixed"/>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C0C0C0"/>
      </w:tcPr>
    </w:tblStylePr>
    <w:tblStylePr w:type="band1Horz">
      <w:tblPr>
        <w:tblLayout w:type="fixed"/>
      </w:tblPr>
      <w:tcPr>
        <w:tcBorders>
          <w:insideH w:val="nil"/>
          <w:insideV w:val="nil"/>
        </w:tcBorders>
        <w:shd w:val="clear" w:color="auto" w:fill="C0C0C0"/>
      </w:tcPr>
    </w:tblStylePr>
    <w:tblStylePr w:type="band2Horz">
      <w:tblPr>
        <w:tblLayout w:type="fixed"/>
      </w:tblPr>
      <w:tcPr>
        <w:tcBorders>
          <w:insideH w:val="nil"/>
          <w:insideV w:val="nil"/>
        </w:tcBorders>
      </w:tcPr>
    </w:tblStylePr>
  </w:style>
  <w:style w:type="table" w:styleId="56">
    <w:name w:val="Medium Shading 1 Accent 1"/>
    <w:basedOn w:val="32"/>
    <w:qFormat/>
    <w:uiPriority w:val="99"/>
    <w:rPr>
      <w:rFonts w:cs="Cambria"/>
      <w:kern w:val="0"/>
      <w:sz w:val="20"/>
      <w:szCs w:val="20"/>
    </w:rPr>
    <w:tblPr>
      <w:tblBorders>
        <w:top w:val="single" w:color="7BA0CD" w:sz="8" w:space="0"/>
        <w:left w:val="single" w:color="7BA0CD" w:sz="8" w:space="0"/>
        <w:bottom w:val="single" w:color="7BA0CD" w:sz="8" w:space="0"/>
        <w:right w:val="single" w:color="7BA0CD" w:sz="8" w:space="0"/>
        <w:insideH w:val="single" w:color="7BA0CD" w:sz="8" w:space="0"/>
      </w:tblBorders>
      <w:tblLayout w:type="fixed"/>
      <w:tblCellMar>
        <w:top w:w="0" w:type="dxa"/>
        <w:left w:w="108" w:type="dxa"/>
        <w:bottom w:w="0" w:type="dxa"/>
        <w:right w:w="108" w:type="dxa"/>
      </w:tblCellMar>
    </w:tblPr>
    <w:tblStylePr w:type="firstRow">
      <w:pPr>
        <w:spacing w:before="0" w:after="0"/>
      </w:pPr>
      <w:rPr>
        <w:b/>
        <w:bCs/>
        <w:color w:val="FFFFFF"/>
      </w:rPr>
      <w:tblPr>
        <w:tblLayout w:type="fixed"/>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pPr>
      <w:rPr>
        <w:b/>
        <w:bCs/>
      </w:rPr>
      <w:tblPr>
        <w:tblLayout w:type="fixed"/>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3DFEE"/>
      </w:tcPr>
    </w:tblStylePr>
    <w:tblStylePr w:type="band1Horz">
      <w:tblPr>
        <w:tblLayout w:type="fixed"/>
      </w:tblPr>
      <w:tcPr>
        <w:tcBorders>
          <w:insideH w:val="nil"/>
          <w:insideV w:val="nil"/>
        </w:tcBorders>
        <w:shd w:val="clear" w:color="auto" w:fill="D3DFEE"/>
      </w:tcPr>
    </w:tblStylePr>
    <w:tblStylePr w:type="band2Horz">
      <w:tblPr>
        <w:tblLayout w:type="fixed"/>
      </w:tblPr>
      <w:tcPr>
        <w:tcBorders>
          <w:insideH w:val="nil"/>
          <w:insideV w:val="nil"/>
        </w:tcBorders>
      </w:tcPr>
    </w:tblStylePr>
  </w:style>
  <w:style w:type="table" w:styleId="57">
    <w:name w:val="Medium Shading 1 Accent 2"/>
    <w:basedOn w:val="32"/>
    <w:uiPriority w:val="99"/>
    <w:rPr>
      <w:rFonts w:cs="Cambria"/>
      <w:kern w:val="0"/>
      <w:sz w:val="20"/>
      <w:szCs w:val="20"/>
    </w:rPr>
    <w:tblPr>
      <w:tblBorders>
        <w:top w:val="single" w:color="CF7B79" w:sz="8" w:space="0"/>
        <w:left w:val="single" w:color="CF7B79" w:sz="8" w:space="0"/>
        <w:bottom w:val="single" w:color="CF7B79" w:sz="8" w:space="0"/>
        <w:right w:val="single" w:color="CF7B79" w:sz="8" w:space="0"/>
        <w:insideH w:val="single" w:color="CF7B79" w:sz="8" w:space="0"/>
      </w:tblBorders>
      <w:tblLayout w:type="fixed"/>
      <w:tblCellMar>
        <w:top w:w="0" w:type="dxa"/>
        <w:left w:w="108" w:type="dxa"/>
        <w:bottom w:w="0" w:type="dxa"/>
        <w:right w:w="108" w:type="dxa"/>
      </w:tblCellMar>
    </w:tblPr>
    <w:tblStylePr w:type="firstRow">
      <w:pPr>
        <w:spacing w:before="0" w:after="0"/>
      </w:pPr>
      <w:rPr>
        <w:b/>
        <w:bCs/>
        <w:color w:val="FFFFFF"/>
      </w:rPr>
      <w:tblPr>
        <w:tblLayout w:type="fixed"/>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pPr>
      <w:rPr>
        <w:b/>
        <w:bCs/>
      </w:rPr>
      <w:tblPr>
        <w:tblLayout w:type="fixed"/>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FD3D2"/>
      </w:tcPr>
    </w:tblStylePr>
    <w:tblStylePr w:type="band1Horz">
      <w:tblPr>
        <w:tblLayout w:type="fixed"/>
      </w:tblPr>
      <w:tcPr>
        <w:tcBorders>
          <w:insideH w:val="nil"/>
          <w:insideV w:val="nil"/>
        </w:tcBorders>
        <w:shd w:val="clear" w:color="auto" w:fill="EFD3D2"/>
      </w:tcPr>
    </w:tblStylePr>
    <w:tblStylePr w:type="band2Horz">
      <w:tblPr>
        <w:tblLayout w:type="fixed"/>
      </w:tblPr>
      <w:tcPr>
        <w:tcBorders>
          <w:insideH w:val="nil"/>
          <w:insideV w:val="nil"/>
        </w:tcBorders>
      </w:tcPr>
    </w:tblStylePr>
  </w:style>
  <w:style w:type="table" w:styleId="58">
    <w:name w:val="Medium Shading 1 Accent 3"/>
    <w:basedOn w:val="32"/>
    <w:uiPriority w:val="99"/>
    <w:rPr>
      <w:rFonts w:cs="Cambria"/>
      <w:kern w:val="0"/>
      <w:sz w:val="20"/>
      <w:szCs w:val="20"/>
    </w:rPr>
    <w:tblPr>
      <w:tblBorders>
        <w:top w:val="single" w:color="B3CC82" w:sz="8" w:space="0"/>
        <w:left w:val="single" w:color="B3CC82" w:sz="8" w:space="0"/>
        <w:bottom w:val="single" w:color="B3CC82" w:sz="8" w:space="0"/>
        <w:right w:val="single" w:color="B3CC82" w:sz="8" w:space="0"/>
        <w:insideH w:val="single" w:color="B3CC82" w:sz="8" w:space="0"/>
      </w:tblBorders>
      <w:tblLayout w:type="fixed"/>
      <w:tblCellMar>
        <w:top w:w="0" w:type="dxa"/>
        <w:left w:w="108" w:type="dxa"/>
        <w:bottom w:w="0" w:type="dxa"/>
        <w:right w:w="108" w:type="dxa"/>
      </w:tblCellMar>
    </w:tblPr>
    <w:tblStylePr w:type="firstRow">
      <w:pPr>
        <w:spacing w:before="0" w:after="0"/>
      </w:pPr>
      <w:rPr>
        <w:b/>
        <w:bCs/>
        <w:color w:val="FFFFFF"/>
      </w:rPr>
      <w:tblPr>
        <w:tblLayout w:type="fixed"/>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pPr>
      <w:rPr>
        <w:b/>
        <w:bCs/>
      </w:rPr>
      <w:tblPr>
        <w:tblLayout w:type="fixed"/>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6EED5"/>
      </w:tcPr>
    </w:tblStylePr>
    <w:tblStylePr w:type="band1Horz">
      <w:tblPr>
        <w:tblLayout w:type="fixed"/>
      </w:tblPr>
      <w:tcPr>
        <w:tcBorders>
          <w:insideH w:val="nil"/>
          <w:insideV w:val="nil"/>
        </w:tcBorders>
        <w:shd w:val="clear" w:color="auto" w:fill="E6EED5"/>
      </w:tcPr>
    </w:tblStylePr>
    <w:tblStylePr w:type="band2Horz">
      <w:tblPr>
        <w:tblLayout w:type="fixed"/>
      </w:tblPr>
      <w:tcPr>
        <w:tcBorders>
          <w:insideH w:val="nil"/>
          <w:insideV w:val="nil"/>
        </w:tcBorders>
      </w:tcPr>
    </w:tblStylePr>
  </w:style>
  <w:style w:type="table" w:styleId="59">
    <w:name w:val="Medium Shading 1 Accent 4"/>
    <w:basedOn w:val="32"/>
    <w:uiPriority w:val="99"/>
    <w:rPr>
      <w:rFonts w:cs="Cambria"/>
      <w:kern w:val="0"/>
      <w:sz w:val="20"/>
      <w:szCs w:val="20"/>
    </w:rPr>
    <w:tblPr>
      <w:tblBorders>
        <w:top w:val="single" w:color="9F8AB9" w:sz="8" w:space="0"/>
        <w:left w:val="single" w:color="9F8AB9" w:sz="8" w:space="0"/>
        <w:bottom w:val="single" w:color="9F8AB9" w:sz="8" w:space="0"/>
        <w:right w:val="single" w:color="9F8AB9" w:sz="8" w:space="0"/>
        <w:insideH w:val="single" w:color="9F8AB9" w:sz="8" w:space="0"/>
      </w:tblBorders>
      <w:tblLayout w:type="fixed"/>
      <w:tblCellMar>
        <w:top w:w="0" w:type="dxa"/>
        <w:left w:w="108" w:type="dxa"/>
        <w:bottom w:w="0" w:type="dxa"/>
        <w:right w:w="108" w:type="dxa"/>
      </w:tblCellMar>
    </w:tblPr>
    <w:tblStylePr w:type="firstRow">
      <w:pPr>
        <w:spacing w:before="0" w:after="0"/>
      </w:pPr>
      <w:rPr>
        <w:b/>
        <w:bCs/>
        <w:color w:val="FFFFFF"/>
      </w:rPr>
      <w:tblPr>
        <w:tblLayout w:type="fixed"/>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pPr>
      <w:rPr>
        <w:b/>
        <w:bCs/>
      </w:rPr>
      <w:tblPr>
        <w:tblLayout w:type="fixed"/>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FD8E8"/>
      </w:tcPr>
    </w:tblStylePr>
    <w:tblStylePr w:type="band1Horz">
      <w:tblPr>
        <w:tblLayout w:type="fixed"/>
      </w:tblPr>
      <w:tcPr>
        <w:tcBorders>
          <w:insideH w:val="nil"/>
          <w:insideV w:val="nil"/>
        </w:tcBorders>
        <w:shd w:val="clear" w:color="auto" w:fill="DFD8E8"/>
      </w:tcPr>
    </w:tblStylePr>
    <w:tblStylePr w:type="band2Horz">
      <w:tblPr>
        <w:tblLayout w:type="fixed"/>
      </w:tblPr>
      <w:tcPr>
        <w:tcBorders>
          <w:insideH w:val="nil"/>
          <w:insideV w:val="nil"/>
        </w:tcBorders>
      </w:tcPr>
    </w:tblStylePr>
  </w:style>
  <w:style w:type="table" w:styleId="60">
    <w:name w:val="Medium Shading 1 Accent 5"/>
    <w:basedOn w:val="32"/>
    <w:uiPriority w:val="99"/>
    <w:rPr>
      <w:rFonts w:cs="Cambria"/>
      <w:kern w:val="0"/>
      <w:sz w:val="20"/>
      <w:szCs w:val="20"/>
    </w:rPr>
    <w:tblPr>
      <w:tblBorders>
        <w:top w:val="single" w:color="78C0D4" w:sz="8" w:space="0"/>
        <w:left w:val="single" w:color="78C0D4" w:sz="8" w:space="0"/>
        <w:bottom w:val="single" w:color="78C0D4" w:sz="8" w:space="0"/>
        <w:right w:val="single" w:color="78C0D4" w:sz="8" w:space="0"/>
        <w:insideH w:val="single" w:color="78C0D4" w:sz="8" w:space="0"/>
      </w:tblBorders>
      <w:tblLayout w:type="fixed"/>
      <w:tblCellMar>
        <w:top w:w="0" w:type="dxa"/>
        <w:left w:w="108" w:type="dxa"/>
        <w:bottom w:w="0" w:type="dxa"/>
        <w:right w:w="108" w:type="dxa"/>
      </w:tblCellMar>
    </w:tblPr>
    <w:tblStylePr w:type="firstRow">
      <w:pPr>
        <w:spacing w:before="0" w:after="0"/>
      </w:pPr>
      <w:rPr>
        <w:b/>
        <w:bCs/>
        <w:color w:val="FFFFFF"/>
      </w:rPr>
      <w:tblPr>
        <w:tblLayout w:type="fixed"/>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pPr>
      <w:rPr>
        <w:b/>
        <w:bCs/>
      </w:rPr>
      <w:tblPr>
        <w:tblLayout w:type="fixed"/>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2EAF1"/>
      </w:tcPr>
    </w:tblStylePr>
    <w:tblStylePr w:type="band1Horz">
      <w:tblPr>
        <w:tblLayout w:type="fixed"/>
      </w:tblPr>
      <w:tcPr>
        <w:tcBorders>
          <w:insideH w:val="nil"/>
          <w:insideV w:val="nil"/>
        </w:tcBorders>
        <w:shd w:val="clear" w:color="auto" w:fill="D2EAF1"/>
      </w:tcPr>
    </w:tblStylePr>
    <w:tblStylePr w:type="band2Horz">
      <w:tblPr>
        <w:tblLayout w:type="fixed"/>
      </w:tblPr>
      <w:tcPr>
        <w:tcBorders>
          <w:insideH w:val="nil"/>
          <w:insideV w:val="nil"/>
        </w:tcBorders>
      </w:tcPr>
    </w:tblStylePr>
  </w:style>
  <w:style w:type="table" w:styleId="61">
    <w:name w:val="Medium Shading 1 Accent 6"/>
    <w:basedOn w:val="32"/>
    <w:uiPriority w:val="99"/>
    <w:rPr>
      <w:rFonts w:cs="Cambria"/>
      <w:kern w:val="0"/>
      <w:sz w:val="20"/>
      <w:szCs w:val="20"/>
    </w:rPr>
    <w:tblPr>
      <w:tblBorders>
        <w:top w:val="single" w:color="F9B074" w:sz="8" w:space="0"/>
        <w:left w:val="single" w:color="F9B074" w:sz="8" w:space="0"/>
        <w:bottom w:val="single" w:color="F9B074" w:sz="8" w:space="0"/>
        <w:right w:val="single" w:color="F9B074" w:sz="8" w:space="0"/>
        <w:insideH w:val="single" w:color="F9B074" w:sz="8" w:space="0"/>
      </w:tblBorders>
      <w:tblLayout w:type="fixed"/>
      <w:tblCellMar>
        <w:top w:w="0" w:type="dxa"/>
        <w:left w:w="108" w:type="dxa"/>
        <w:bottom w:w="0" w:type="dxa"/>
        <w:right w:w="108" w:type="dxa"/>
      </w:tblCellMar>
    </w:tblPr>
    <w:tblStylePr w:type="firstRow">
      <w:pPr>
        <w:spacing w:before="0" w:after="0"/>
      </w:pPr>
      <w:rPr>
        <w:b/>
        <w:bCs/>
        <w:color w:val="FFFFFF"/>
      </w:rPr>
      <w:tblPr>
        <w:tblLayout w:type="fixed"/>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pPr>
      <w:rPr>
        <w:b/>
        <w:bCs/>
      </w:rPr>
      <w:tblPr>
        <w:tblLayout w:type="fixed"/>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FDE4D0"/>
      </w:tcPr>
    </w:tblStylePr>
    <w:tblStylePr w:type="band1Horz">
      <w:tblPr>
        <w:tblLayout w:type="fixed"/>
      </w:tblPr>
      <w:tcPr>
        <w:tcBorders>
          <w:insideH w:val="nil"/>
          <w:insideV w:val="nil"/>
        </w:tcBorders>
        <w:shd w:val="clear" w:color="auto" w:fill="FDE4D0"/>
      </w:tcPr>
    </w:tblStylePr>
    <w:tblStylePr w:type="band2Horz">
      <w:tblPr>
        <w:tblLayout w:type="fixed"/>
      </w:tblPr>
      <w:tcPr>
        <w:tcBorders>
          <w:insideH w:val="nil"/>
          <w:insideV w:val="nil"/>
        </w:tcBorders>
      </w:tcPr>
    </w:tblStylePr>
  </w:style>
  <w:style w:type="table" w:styleId="62">
    <w:name w:val="Medium Shading 2"/>
    <w:basedOn w:val="32"/>
    <w:uiPriority w:val="99"/>
    <w:rPr>
      <w:rFonts w:cs="Cambria"/>
      <w:kern w:val="0"/>
      <w:sz w:val="20"/>
      <w:szCs w:val="20"/>
    </w:r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blLayout w:type="fixed"/>
      </w:tblPr>
      <w:tcPr>
        <w:tcBorders>
          <w:left w:val="nil"/>
          <w:right w:val="nil"/>
          <w:insideH w:val="nil"/>
          <w:insideV w:val="nil"/>
        </w:tcBorders>
        <w:shd w:val="clear" w:color="auto" w:fill="000000"/>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99"/>
    <w:rPr>
      <w:rFonts w:cs="Cambria"/>
      <w:kern w:val="0"/>
      <w:sz w:val="20"/>
      <w:szCs w:val="20"/>
    </w:r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blLayout w:type="fixed"/>
      </w:tblPr>
      <w:tcPr>
        <w:tcBorders>
          <w:left w:val="nil"/>
          <w:right w:val="nil"/>
          <w:insideH w:val="nil"/>
          <w:insideV w:val="nil"/>
        </w:tcBorders>
        <w:shd w:val="clear" w:color="auto" w:fill="4F81BD"/>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99"/>
    <w:rPr>
      <w:rFonts w:cs="Cambria"/>
      <w:kern w:val="0"/>
      <w:sz w:val="20"/>
      <w:szCs w:val="20"/>
    </w:r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blLayout w:type="fixed"/>
      </w:tblPr>
      <w:tcPr>
        <w:tcBorders>
          <w:left w:val="nil"/>
          <w:right w:val="nil"/>
          <w:insideH w:val="nil"/>
          <w:insideV w:val="nil"/>
        </w:tcBorders>
        <w:shd w:val="clear" w:color="auto" w:fill="C0504D"/>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99"/>
    <w:rPr>
      <w:rFonts w:cs="Cambria"/>
      <w:kern w:val="0"/>
      <w:sz w:val="20"/>
      <w:szCs w:val="20"/>
    </w:r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blLayout w:type="fixed"/>
      </w:tblPr>
      <w:tcPr>
        <w:tcBorders>
          <w:left w:val="nil"/>
          <w:right w:val="nil"/>
          <w:insideH w:val="nil"/>
          <w:insideV w:val="nil"/>
        </w:tcBorders>
        <w:shd w:val="clear" w:color="auto" w:fill="9BBB59"/>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99"/>
    <w:rPr>
      <w:rFonts w:cs="Cambria"/>
      <w:kern w:val="0"/>
      <w:sz w:val="20"/>
      <w:szCs w:val="20"/>
    </w:r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blLayout w:type="fixed"/>
      </w:tblPr>
      <w:tcPr>
        <w:tcBorders>
          <w:left w:val="nil"/>
          <w:right w:val="nil"/>
          <w:insideH w:val="nil"/>
          <w:insideV w:val="nil"/>
        </w:tcBorders>
        <w:shd w:val="clear" w:color="auto" w:fill="8064A2"/>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99"/>
    <w:rPr>
      <w:rFonts w:cs="Cambria"/>
      <w:kern w:val="0"/>
      <w:sz w:val="20"/>
      <w:szCs w:val="20"/>
    </w:r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blLayout w:type="fixed"/>
      </w:tblPr>
      <w:tcPr>
        <w:tcBorders>
          <w:left w:val="nil"/>
          <w:right w:val="nil"/>
          <w:insideH w:val="nil"/>
          <w:insideV w:val="nil"/>
        </w:tcBorders>
        <w:shd w:val="clear" w:color="auto" w:fill="4BACC6"/>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99"/>
    <w:rPr>
      <w:rFonts w:cs="Cambria"/>
      <w:kern w:val="0"/>
      <w:sz w:val="20"/>
      <w:szCs w:val="20"/>
    </w:r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blLayout w:type="fixed"/>
      </w:tblPr>
      <w:tcPr>
        <w:tcBorders>
          <w:left w:val="nil"/>
          <w:right w:val="nil"/>
          <w:insideH w:val="nil"/>
          <w:insideV w:val="nil"/>
        </w:tcBorders>
        <w:shd w:val="clear" w:color="auto" w:fill="F79646"/>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99"/>
    <w:rPr>
      <w:rFonts w:cs="Cambria"/>
      <w:color w:val="000000"/>
      <w:kern w:val="0"/>
      <w:sz w:val="20"/>
      <w:szCs w:val="20"/>
    </w:rPr>
    <w:tblPr>
      <w:tblBorders>
        <w:top w:val="single" w:color="000000" w:sz="8" w:space="0"/>
        <w:bottom w:val="single" w:color="000000" w:sz="8" w:space="0"/>
      </w:tblBorders>
      <w:tblLayout w:type="fixed"/>
      <w:tblCellMar>
        <w:top w:w="0" w:type="dxa"/>
        <w:left w:w="108" w:type="dxa"/>
        <w:bottom w:w="0" w:type="dxa"/>
        <w:right w:w="108" w:type="dxa"/>
      </w:tblCellMar>
    </w:tblPr>
    <w:tblStylePr w:type="firstRow">
      <w:rPr>
        <w:rFonts w:ascii="Calibri" w:hAnsi="Calibri" w:eastAsia="MS Gothic" w:cs="Calibri"/>
      </w:rPr>
      <w:tblPr>
        <w:tblLayout w:type="fixed"/>
      </w:tblPr>
      <w:tcPr>
        <w:tcBorders>
          <w:top w:val="nil"/>
          <w:bottom w:val="single" w:color="000000" w:sz="8" w:space="0"/>
        </w:tcBorders>
      </w:tcPr>
    </w:tblStylePr>
    <w:tblStylePr w:type="lastRow">
      <w:rPr>
        <w:b/>
        <w:bCs/>
        <w:color w:val="1F497D"/>
      </w:rPr>
      <w:tblPr>
        <w:tblLayout w:type="fixed"/>
      </w:tblPr>
      <w:tcPr>
        <w:tcBorders>
          <w:top w:val="single" w:color="000000" w:sz="8" w:space="0"/>
          <w:bottom w:val="single" w:color="000000" w:sz="8" w:space="0"/>
        </w:tcBorders>
      </w:tcPr>
    </w:tblStylePr>
    <w:tblStylePr w:type="firstCol">
      <w:rPr>
        <w:b/>
        <w:bCs/>
      </w:rPr>
    </w:tblStylePr>
    <w:tblStylePr w:type="lastCol">
      <w:rPr>
        <w:b/>
        <w:bCs/>
      </w:rPr>
      <w:tblPr>
        <w:tblLayout w:type="fixed"/>
      </w:tblPr>
      <w:tcPr>
        <w:tcBorders>
          <w:top w:val="single" w:color="000000" w:sz="8" w:space="0"/>
          <w:bottom w:val="single" w:color="000000" w:sz="8" w:space="0"/>
        </w:tcBorders>
      </w:tcPr>
    </w:tblStylePr>
    <w:tblStylePr w:type="band1Vert">
      <w:tblPr>
        <w:tblLayout w:type="fixed"/>
      </w:tblPr>
      <w:tcPr>
        <w:shd w:val="clear" w:color="auto" w:fill="C0C0C0"/>
      </w:tcPr>
    </w:tblStylePr>
    <w:tblStylePr w:type="band1Horz">
      <w:tblPr>
        <w:tblLayout w:type="fixed"/>
      </w:tblPr>
      <w:tcPr>
        <w:shd w:val="clear" w:color="auto" w:fill="C0C0C0"/>
      </w:tcPr>
    </w:tblStylePr>
  </w:style>
  <w:style w:type="table" w:styleId="70">
    <w:name w:val="Medium List 1 Accent 1"/>
    <w:basedOn w:val="32"/>
    <w:uiPriority w:val="99"/>
    <w:rPr>
      <w:rFonts w:cs="Cambria"/>
      <w:color w:val="000000"/>
      <w:kern w:val="0"/>
      <w:sz w:val="20"/>
      <w:szCs w:val="20"/>
    </w:rPr>
    <w:tblPr>
      <w:tblBorders>
        <w:top w:val="single" w:color="4F81BD" w:sz="8" w:space="0"/>
        <w:bottom w:val="single" w:color="4F81BD" w:sz="8" w:space="0"/>
      </w:tblBorders>
      <w:tblLayout w:type="fixed"/>
      <w:tblCellMar>
        <w:top w:w="0" w:type="dxa"/>
        <w:left w:w="108" w:type="dxa"/>
        <w:bottom w:w="0" w:type="dxa"/>
        <w:right w:w="108" w:type="dxa"/>
      </w:tblCellMar>
    </w:tblPr>
    <w:tblStylePr w:type="firstRow">
      <w:rPr>
        <w:rFonts w:ascii="Calibri" w:hAnsi="Calibri" w:eastAsia="MS Gothic" w:cs="Calibri"/>
      </w:rPr>
      <w:tblPr>
        <w:tblLayout w:type="fixed"/>
      </w:tblPr>
      <w:tcPr>
        <w:tcBorders>
          <w:top w:val="nil"/>
          <w:bottom w:val="single" w:color="4F81BD" w:sz="8" w:space="0"/>
        </w:tcBorders>
      </w:tcPr>
    </w:tblStylePr>
    <w:tblStylePr w:type="lastRow">
      <w:rPr>
        <w:b/>
        <w:bCs/>
        <w:color w:val="1F497D"/>
      </w:rPr>
      <w:tblPr>
        <w:tblLayout w:type="fixed"/>
      </w:tblPr>
      <w:tcPr>
        <w:tcBorders>
          <w:top w:val="single" w:color="4F81BD" w:sz="8" w:space="0"/>
          <w:bottom w:val="single" w:color="4F81BD" w:sz="8" w:space="0"/>
        </w:tcBorders>
      </w:tcPr>
    </w:tblStylePr>
    <w:tblStylePr w:type="firstCol">
      <w:rPr>
        <w:b/>
        <w:bCs/>
      </w:rPr>
    </w:tblStylePr>
    <w:tblStylePr w:type="lastCol">
      <w:rPr>
        <w:b/>
        <w:bCs/>
      </w:rPr>
      <w:tblPr>
        <w:tblLayout w:type="fixed"/>
      </w:tblPr>
      <w:tcPr>
        <w:tcBorders>
          <w:top w:val="single" w:color="4F81BD" w:sz="8" w:space="0"/>
          <w:bottom w:val="single" w:color="4F81BD" w:sz="8" w:space="0"/>
        </w:tcBorders>
      </w:tcPr>
    </w:tblStylePr>
    <w:tblStylePr w:type="band1Vert">
      <w:tblPr>
        <w:tblLayout w:type="fixed"/>
      </w:tblPr>
      <w:tcPr>
        <w:shd w:val="clear" w:color="auto" w:fill="D3DFEE"/>
      </w:tcPr>
    </w:tblStylePr>
    <w:tblStylePr w:type="band1Horz">
      <w:tblPr>
        <w:tblLayout w:type="fixed"/>
      </w:tblPr>
      <w:tcPr>
        <w:shd w:val="clear" w:color="auto" w:fill="D3DFEE"/>
      </w:tcPr>
    </w:tblStylePr>
  </w:style>
  <w:style w:type="table" w:styleId="71">
    <w:name w:val="Medium List 1 Accent 2"/>
    <w:basedOn w:val="32"/>
    <w:uiPriority w:val="99"/>
    <w:rPr>
      <w:rFonts w:cs="Cambria"/>
      <w:color w:val="000000"/>
      <w:kern w:val="0"/>
      <w:sz w:val="20"/>
      <w:szCs w:val="20"/>
    </w:rPr>
    <w:tblPr>
      <w:tblBorders>
        <w:top w:val="single" w:color="C0504D" w:sz="8" w:space="0"/>
        <w:bottom w:val="single" w:color="C0504D" w:sz="8" w:space="0"/>
      </w:tblBorders>
      <w:tblLayout w:type="fixed"/>
      <w:tblCellMar>
        <w:top w:w="0" w:type="dxa"/>
        <w:left w:w="108" w:type="dxa"/>
        <w:bottom w:w="0" w:type="dxa"/>
        <w:right w:w="108" w:type="dxa"/>
      </w:tblCellMar>
    </w:tblPr>
    <w:tblStylePr w:type="firstRow">
      <w:rPr>
        <w:rFonts w:ascii="Calibri" w:hAnsi="Calibri" w:eastAsia="MS Gothic" w:cs="Calibri"/>
      </w:rPr>
      <w:tblPr>
        <w:tblLayout w:type="fixed"/>
      </w:tblPr>
      <w:tcPr>
        <w:tcBorders>
          <w:top w:val="nil"/>
          <w:bottom w:val="single" w:color="C0504D" w:sz="8" w:space="0"/>
        </w:tcBorders>
      </w:tcPr>
    </w:tblStylePr>
    <w:tblStylePr w:type="lastRow">
      <w:rPr>
        <w:b/>
        <w:bCs/>
        <w:color w:val="1F497D"/>
      </w:rPr>
      <w:tblPr>
        <w:tblLayout w:type="fixed"/>
      </w:tblPr>
      <w:tcPr>
        <w:tcBorders>
          <w:top w:val="single" w:color="C0504D" w:sz="8" w:space="0"/>
          <w:bottom w:val="single" w:color="C0504D" w:sz="8" w:space="0"/>
        </w:tcBorders>
      </w:tcPr>
    </w:tblStylePr>
    <w:tblStylePr w:type="firstCol">
      <w:rPr>
        <w:b/>
        <w:bCs/>
      </w:rPr>
    </w:tblStylePr>
    <w:tblStylePr w:type="lastCol">
      <w:rPr>
        <w:b/>
        <w:bCs/>
      </w:rPr>
      <w:tblPr>
        <w:tblLayout w:type="fixed"/>
      </w:tblPr>
      <w:tcPr>
        <w:tcBorders>
          <w:top w:val="single" w:color="C0504D" w:sz="8" w:space="0"/>
          <w:bottom w:val="single" w:color="C0504D" w:sz="8" w:space="0"/>
        </w:tcBorders>
      </w:tcPr>
    </w:tblStylePr>
    <w:tblStylePr w:type="band1Vert">
      <w:tblPr>
        <w:tblLayout w:type="fixed"/>
      </w:tblPr>
      <w:tcPr>
        <w:shd w:val="clear" w:color="auto" w:fill="EFD3D2"/>
      </w:tcPr>
    </w:tblStylePr>
    <w:tblStylePr w:type="band1Horz">
      <w:tblPr>
        <w:tblLayout w:type="fixed"/>
      </w:tblPr>
      <w:tcPr>
        <w:shd w:val="clear" w:color="auto" w:fill="EFD3D2"/>
      </w:tcPr>
    </w:tblStylePr>
  </w:style>
  <w:style w:type="table" w:styleId="72">
    <w:name w:val="Medium List 1 Accent 3"/>
    <w:basedOn w:val="32"/>
    <w:qFormat/>
    <w:uiPriority w:val="99"/>
    <w:rPr>
      <w:rFonts w:cs="Cambria"/>
      <w:color w:val="000000"/>
      <w:kern w:val="0"/>
      <w:sz w:val="20"/>
      <w:szCs w:val="20"/>
    </w:rPr>
    <w:tblPr>
      <w:tblBorders>
        <w:top w:val="single" w:color="9BBB59" w:sz="8" w:space="0"/>
        <w:bottom w:val="single" w:color="9BBB59" w:sz="8" w:space="0"/>
      </w:tblBorders>
      <w:tblLayout w:type="fixed"/>
      <w:tblCellMar>
        <w:top w:w="0" w:type="dxa"/>
        <w:left w:w="108" w:type="dxa"/>
        <w:bottom w:w="0" w:type="dxa"/>
        <w:right w:w="108" w:type="dxa"/>
      </w:tblCellMar>
    </w:tblPr>
    <w:tblStylePr w:type="firstRow">
      <w:rPr>
        <w:rFonts w:ascii="Calibri" w:hAnsi="Calibri" w:eastAsia="MS Gothic" w:cs="Calibri"/>
      </w:rPr>
      <w:tblPr>
        <w:tblLayout w:type="fixed"/>
      </w:tblPr>
      <w:tcPr>
        <w:tcBorders>
          <w:top w:val="nil"/>
          <w:bottom w:val="single" w:color="9BBB59" w:sz="8" w:space="0"/>
        </w:tcBorders>
      </w:tcPr>
    </w:tblStylePr>
    <w:tblStylePr w:type="lastRow">
      <w:rPr>
        <w:b/>
        <w:bCs/>
        <w:color w:val="1F497D"/>
      </w:rPr>
      <w:tblPr>
        <w:tblLayout w:type="fixed"/>
      </w:tblPr>
      <w:tcPr>
        <w:tcBorders>
          <w:top w:val="single" w:color="9BBB59" w:sz="8" w:space="0"/>
          <w:bottom w:val="single" w:color="9BBB59" w:sz="8" w:space="0"/>
        </w:tcBorders>
      </w:tcPr>
    </w:tblStylePr>
    <w:tblStylePr w:type="firstCol">
      <w:rPr>
        <w:b/>
        <w:bCs/>
      </w:rPr>
    </w:tblStylePr>
    <w:tblStylePr w:type="lastCol">
      <w:rPr>
        <w:b/>
        <w:bCs/>
      </w:rPr>
      <w:tblPr>
        <w:tblLayout w:type="fixed"/>
      </w:tblPr>
      <w:tcPr>
        <w:tcBorders>
          <w:top w:val="single" w:color="9BBB59" w:sz="8" w:space="0"/>
          <w:bottom w:val="single" w:color="9BBB59" w:sz="8" w:space="0"/>
        </w:tcBorders>
      </w:tcPr>
    </w:tblStylePr>
    <w:tblStylePr w:type="band1Vert">
      <w:tblPr>
        <w:tblLayout w:type="fixed"/>
      </w:tblPr>
      <w:tcPr>
        <w:shd w:val="clear" w:color="auto" w:fill="E6EED5"/>
      </w:tcPr>
    </w:tblStylePr>
    <w:tblStylePr w:type="band1Horz">
      <w:tblPr>
        <w:tblLayout w:type="fixed"/>
      </w:tblPr>
      <w:tcPr>
        <w:shd w:val="clear" w:color="auto" w:fill="E6EED5"/>
      </w:tcPr>
    </w:tblStylePr>
  </w:style>
  <w:style w:type="table" w:styleId="73">
    <w:name w:val="Medium List 1 Accent 4"/>
    <w:basedOn w:val="32"/>
    <w:qFormat/>
    <w:uiPriority w:val="99"/>
    <w:rPr>
      <w:rFonts w:cs="Cambria"/>
      <w:color w:val="000000"/>
      <w:kern w:val="0"/>
      <w:sz w:val="20"/>
      <w:szCs w:val="20"/>
    </w:rPr>
    <w:tblPr>
      <w:tblBorders>
        <w:top w:val="single" w:color="8064A2" w:sz="8" w:space="0"/>
        <w:bottom w:val="single" w:color="8064A2" w:sz="8" w:space="0"/>
      </w:tblBorders>
      <w:tblLayout w:type="fixed"/>
      <w:tblCellMar>
        <w:top w:w="0" w:type="dxa"/>
        <w:left w:w="108" w:type="dxa"/>
        <w:bottom w:w="0" w:type="dxa"/>
        <w:right w:w="108" w:type="dxa"/>
      </w:tblCellMar>
    </w:tblPr>
    <w:tblStylePr w:type="firstRow">
      <w:rPr>
        <w:rFonts w:ascii="Calibri" w:hAnsi="Calibri" w:eastAsia="MS Gothic" w:cs="Calibri"/>
      </w:rPr>
      <w:tblPr>
        <w:tblLayout w:type="fixed"/>
      </w:tblPr>
      <w:tcPr>
        <w:tcBorders>
          <w:top w:val="nil"/>
          <w:bottom w:val="single" w:color="8064A2" w:sz="8" w:space="0"/>
        </w:tcBorders>
      </w:tcPr>
    </w:tblStylePr>
    <w:tblStylePr w:type="lastRow">
      <w:rPr>
        <w:b/>
        <w:bCs/>
        <w:color w:val="1F497D"/>
      </w:rPr>
      <w:tblPr>
        <w:tblLayout w:type="fixed"/>
      </w:tblPr>
      <w:tcPr>
        <w:tcBorders>
          <w:top w:val="single" w:color="8064A2" w:sz="8" w:space="0"/>
          <w:bottom w:val="single" w:color="8064A2" w:sz="8" w:space="0"/>
        </w:tcBorders>
      </w:tcPr>
    </w:tblStylePr>
    <w:tblStylePr w:type="firstCol">
      <w:rPr>
        <w:b/>
        <w:bCs/>
      </w:rPr>
    </w:tblStylePr>
    <w:tblStylePr w:type="lastCol">
      <w:rPr>
        <w:b/>
        <w:bCs/>
      </w:rPr>
      <w:tblPr>
        <w:tblLayout w:type="fixed"/>
      </w:tblPr>
      <w:tcPr>
        <w:tcBorders>
          <w:top w:val="single" w:color="8064A2" w:sz="8" w:space="0"/>
          <w:bottom w:val="single" w:color="8064A2" w:sz="8" w:space="0"/>
        </w:tcBorders>
      </w:tcPr>
    </w:tblStylePr>
    <w:tblStylePr w:type="band1Vert">
      <w:tblPr>
        <w:tblLayout w:type="fixed"/>
      </w:tblPr>
      <w:tcPr>
        <w:shd w:val="clear" w:color="auto" w:fill="DFD8E8"/>
      </w:tcPr>
    </w:tblStylePr>
    <w:tblStylePr w:type="band1Horz">
      <w:tblPr>
        <w:tblLayout w:type="fixed"/>
      </w:tblPr>
      <w:tcPr>
        <w:shd w:val="clear" w:color="auto" w:fill="DFD8E8"/>
      </w:tcPr>
    </w:tblStylePr>
  </w:style>
  <w:style w:type="table" w:styleId="74">
    <w:name w:val="Medium List 1 Accent 5"/>
    <w:basedOn w:val="32"/>
    <w:qFormat/>
    <w:uiPriority w:val="99"/>
    <w:rPr>
      <w:rFonts w:cs="Cambria"/>
      <w:color w:val="000000"/>
      <w:kern w:val="0"/>
      <w:sz w:val="20"/>
      <w:szCs w:val="20"/>
    </w:rPr>
    <w:tblPr>
      <w:tblBorders>
        <w:top w:val="single" w:color="4BACC6" w:sz="8" w:space="0"/>
        <w:bottom w:val="single" w:color="4BACC6" w:sz="8" w:space="0"/>
      </w:tblBorders>
      <w:tblLayout w:type="fixed"/>
      <w:tblCellMar>
        <w:top w:w="0" w:type="dxa"/>
        <w:left w:w="108" w:type="dxa"/>
        <w:bottom w:w="0" w:type="dxa"/>
        <w:right w:w="108" w:type="dxa"/>
      </w:tblCellMar>
    </w:tblPr>
    <w:tblStylePr w:type="firstRow">
      <w:rPr>
        <w:rFonts w:ascii="Calibri" w:hAnsi="Calibri" w:eastAsia="MS Gothic" w:cs="Calibri"/>
      </w:rPr>
      <w:tblPr>
        <w:tblLayout w:type="fixed"/>
      </w:tblPr>
      <w:tcPr>
        <w:tcBorders>
          <w:top w:val="nil"/>
          <w:bottom w:val="single" w:color="4BACC6" w:sz="8" w:space="0"/>
        </w:tcBorders>
      </w:tcPr>
    </w:tblStylePr>
    <w:tblStylePr w:type="lastRow">
      <w:rPr>
        <w:b/>
        <w:bCs/>
        <w:color w:val="1F497D"/>
      </w:rPr>
      <w:tblPr>
        <w:tblLayout w:type="fixed"/>
      </w:tblPr>
      <w:tcPr>
        <w:tcBorders>
          <w:top w:val="single" w:color="4BACC6" w:sz="8" w:space="0"/>
          <w:bottom w:val="single" w:color="4BACC6" w:sz="8" w:space="0"/>
        </w:tcBorders>
      </w:tcPr>
    </w:tblStylePr>
    <w:tblStylePr w:type="firstCol">
      <w:rPr>
        <w:b/>
        <w:bCs/>
      </w:rPr>
    </w:tblStylePr>
    <w:tblStylePr w:type="lastCol">
      <w:rPr>
        <w:b/>
        <w:bCs/>
      </w:rPr>
      <w:tblPr>
        <w:tblLayout w:type="fixed"/>
      </w:tblPr>
      <w:tcPr>
        <w:tcBorders>
          <w:top w:val="single" w:color="4BACC6" w:sz="8" w:space="0"/>
          <w:bottom w:val="single" w:color="4BACC6" w:sz="8" w:space="0"/>
        </w:tcBorders>
      </w:tcPr>
    </w:tblStylePr>
    <w:tblStylePr w:type="band1Vert">
      <w:tblPr>
        <w:tblLayout w:type="fixed"/>
      </w:tblPr>
      <w:tcPr>
        <w:shd w:val="clear" w:color="auto" w:fill="D2EAF1"/>
      </w:tcPr>
    </w:tblStylePr>
    <w:tblStylePr w:type="band1Horz">
      <w:tblPr>
        <w:tblLayout w:type="fixed"/>
      </w:tblPr>
      <w:tcPr>
        <w:shd w:val="clear" w:color="auto" w:fill="D2EAF1"/>
      </w:tcPr>
    </w:tblStylePr>
  </w:style>
  <w:style w:type="table" w:styleId="75">
    <w:name w:val="Medium List 1 Accent 6"/>
    <w:basedOn w:val="32"/>
    <w:uiPriority w:val="99"/>
    <w:rPr>
      <w:rFonts w:cs="Cambria"/>
      <w:color w:val="000000"/>
      <w:kern w:val="0"/>
      <w:sz w:val="20"/>
      <w:szCs w:val="20"/>
    </w:rPr>
    <w:tblPr>
      <w:tblBorders>
        <w:top w:val="single" w:color="F79646" w:sz="8" w:space="0"/>
        <w:bottom w:val="single" w:color="F79646" w:sz="8" w:space="0"/>
      </w:tblBorders>
      <w:tblLayout w:type="fixed"/>
      <w:tblCellMar>
        <w:top w:w="0" w:type="dxa"/>
        <w:left w:w="108" w:type="dxa"/>
        <w:bottom w:w="0" w:type="dxa"/>
        <w:right w:w="108" w:type="dxa"/>
      </w:tblCellMar>
    </w:tblPr>
    <w:tblStylePr w:type="firstRow">
      <w:rPr>
        <w:rFonts w:ascii="Calibri" w:hAnsi="Calibri" w:eastAsia="MS Gothic" w:cs="Calibri"/>
      </w:rPr>
      <w:tblPr>
        <w:tblLayout w:type="fixed"/>
      </w:tblPr>
      <w:tcPr>
        <w:tcBorders>
          <w:top w:val="nil"/>
          <w:bottom w:val="single" w:color="F79646" w:sz="8" w:space="0"/>
        </w:tcBorders>
      </w:tcPr>
    </w:tblStylePr>
    <w:tblStylePr w:type="lastRow">
      <w:rPr>
        <w:b/>
        <w:bCs/>
        <w:color w:val="1F497D"/>
      </w:rPr>
      <w:tblPr>
        <w:tblLayout w:type="fixed"/>
      </w:tblPr>
      <w:tcPr>
        <w:tcBorders>
          <w:top w:val="single" w:color="F79646" w:sz="8" w:space="0"/>
          <w:bottom w:val="single" w:color="F79646" w:sz="8" w:space="0"/>
        </w:tcBorders>
      </w:tcPr>
    </w:tblStylePr>
    <w:tblStylePr w:type="firstCol">
      <w:rPr>
        <w:b/>
        <w:bCs/>
      </w:rPr>
    </w:tblStylePr>
    <w:tblStylePr w:type="lastCol">
      <w:rPr>
        <w:b/>
        <w:bCs/>
      </w:rPr>
      <w:tblPr>
        <w:tblLayout w:type="fixed"/>
      </w:tblPr>
      <w:tcPr>
        <w:tcBorders>
          <w:top w:val="single" w:color="F79646" w:sz="8" w:space="0"/>
          <w:bottom w:val="single" w:color="F79646" w:sz="8" w:space="0"/>
        </w:tcBorders>
      </w:tcPr>
    </w:tblStylePr>
    <w:tblStylePr w:type="band1Vert">
      <w:tblPr>
        <w:tblLayout w:type="fixed"/>
      </w:tblPr>
      <w:tcPr>
        <w:shd w:val="clear" w:color="auto" w:fill="FDE4D0"/>
      </w:tcPr>
    </w:tblStylePr>
    <w:tblStylePr w:type="band1Horz">
      <w:tblPr>
        <w:tblLayout w:type="fixed"/>
      </w:tblPr>
      <w:tcPr>
        <w:shd w:val="clear" w:color="auto" w:fill="FDE4D0"/>
      </w:tcPr>
    </w:tblStylePr>
  </w:style>
  <w:style w:type="table" w:styleId="76">
    <w:name w:val="Medium List 2"/>
    <w:basedOn w:val="32"/>
    <w:uiPriority w:val="99"/>
    <w:rPr>
      <w:rFonts w:ascii="Calibri" w:hAnsi="Calibri" w:eastAsia="MS Gothic" w:cs="Calibri"/>
      <w:color w:val="000000"/>
      <w:kern w:val="0"/>
      <w:sz w:val="20"/>
      <w:szCs w:val="20"/>
    </w:rPr>
    <w:tblPr>
      <w:tblBorders>
        <w:top w:val="single" w:color="000000" w:sz="8" w:space="0"/>
        <w:left w:val="single" w:color="000000" w:sz="8" w:space="0"/>
        <w:bottom w:val="single" w:color="000000" w:sz="8" w:space="0"/>
        <w:right w:val="single" w:color="000000"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000000" w:sz="24" w:space="0"/>
          <w:right w:val="nil"/>
          <w:insideH w:val="nil"/>
          <w:insideV w:val="nil"/>
        </w:tcBorders>
        <w:shd w:val="clear" w:color="auto" w:fill="FFFFFF"/>
      </w:tcPr>
    </w:tblStylePr>
    <w:tblStylePr w:type="lastRow">
      <w:tblPr>
        <w:tblLayout w:type="fixed"/>
      </w:tblPr>
      <w:tcPr>
        <w:tcBorders>
          <w:top w:val="single" w:color="000000"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000000" w:sz="8" w:space="0"/>
          <w:insideH w:val="nil"/>
          <w:insideV w:val="nil"/>
        </w:tcBorders>
        <w:shd w:val="clear" w:color="auto" w:fill="FFFFFF"/>
      </w:tcPr>
    </w:tblStylePr>
    <w:tblStylePr w:type="lastCol">
      <w:tblPr>
        <w:tblLayout w:type="fixed"/>
      </w:tblPr>
      <w:tcPr>
        <w:tcBorders>
          <w:top w:val="nil"/>
          <w:left w:val="single" w:color="000000" w:sz="8" w:space="0"/>
          <w:bottom w:val="nil"/>
          <w:right w:val="nil"/>
          <w:insideH w:val="nil"/>
          <w:insideV w:val="nil"/>
        </w:tcBorders>
        <w:shd w:val="clear" w:color="auto" w:fill="FFFFFF"/>
      </w:tcPr>
    </w:tblStylePr>
    <w:tblStylePr w:type="band1Vert">
      <w:tblPr>
        <w:tblLayout w:type="fixed"/>
      </w:tblPr>
      <w:tcPr>
        <w:tcBorders>
          <w:left w:val="nil"/>
          <w:right w:val="nil"/>
          <w:insideH w:val="nil"/>
          <w:insideV w:val="nil"/>
        </w:tcBorders>
        <w:shd w:val="clear" w:color="auto" w:fill="C0C0C0"/>
      </w:tcPr>
    </w:tblStylePr>
    <w:tblStylePr w:type="band1Horz">
      <w:tblPr>
        <w:tblLayout w:type="fixed"/>
      </w:tblPr>
      <w:tcPr>
        <w:tcBorders>
          <w:top w:val="nil"/>
          <w:bottom w:val="nil"/>
          <w:insideH w:val="nil"/>
          <w:insideV w:val="nil"/>
        </w:tcBorders>
        <w:shd w:val="clear" w:color="auto" w:fill="C0C0C0"/>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77">
    <w:name w:val="Medium List 2 Accent 1"/>
    <w:basedOn w:val="32"/>
    <w:uiPriority w:val="99"/>
    <w:rPr>
      <w:rFonts w:ascii="Calibri" w:hAnsi="Calibri" w:eastAsia="MS Gothic" w:cs="Calibri"/>
      <w:color w:val="000000"/>
      <w:kern w:val="0"/>
      <w:sz w:val="20"/>
      <w:szCs w:val="20"/>
    </w:rPr>
    <w:tblPr>
      <w:tblBorders>
        <w:top w:val="single" w:color="4F81BD" w:sz="8" w:space="0"/>
        <w:left w:val="single" w:color="4F81BD" w:sz="8" w:space="0"/>
        <w:bottom w:val="single" w:color="4F81BD" w:sz="8" w:space="0"/>
        <w:right w:val="single" w:color="4F81BD"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4F81BD" w:sz="24" w:space="0"/>
          <w:right w:val="nil"/>
          <w:insideH w:val="nil"/>
          <w:insideV w:val="nil"/>
        </w:tcBorders>
        <w:shd w:val="clear" w:color="auto" w:fill="FFFFFF"/>
      </w:tcPr>
    </w:tblStylePr>
    <w:tblStylePr w:type="lastRow">
      <w:tblPr>
        <w:tblLayout w:type="fixed"/>
      </w:tblPr>
      <w:tcPr>
        <w:tcBorders>
          <w:top w:val="single" w:color="4F81BD"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4F81BD" w:sz="8" w:space="0"/>
          <w:insideH w:val="nil"/>
          <w:insideV w:val="nil"/>
        </w:tcBorders>
        <w:shd w:val="clear" w:color="auto" w:fill="FFFFFF"/>
      </w:tcPr>
    </w:tblStylePr>
    <w:tblStylePr w:type="lastCol">
      <w:tblPr>
        <w:tblLayout w:type="fixed"/>
      </w:tblPr>
      <w:tcPr>
        <w:tcBorders>
          <w:top w:val="nil"/>
          <w:left w:val="single" w:color="4F81BD" w:sz="8" w:space="0"/>
          <w:bottom w:val="nil"/>
          <w:right w:val="nil"/>
          <w:insideH w:val="nil"/>
          <w:insideV w:val="nil"/>
        </w:tcBorders>
        <w:shd w:val="clear" w:color="auto" w:fill="FFFFFF"/>
      </w:tcPr>
    </w:tblStylePr>
    <w:tblStylePr w:type="band1Vert">
      <w:tblPr>
        <w:tblLayout w:type="fixed"/>
      </w:tblPr>
      <w:tcPr>
        <w:tcBorders>
          <w:left w:val="nil"/>
          <w:right w:val="nil"/>
          <w:insideH w:val="nil"/>
          <w:insideV w:val="nil"/>
        </w:tcBorders>
        <w:shd w:val="clear" w:color="auto" w:fill="D3DFEE"/>
      </w:tcPr>
    </w:tblStylePr>
    <w:tblStylePr w:type="band1Horz">
      <w:tblPr>
        <w:tblLayout w:type="fixed"/>
      </w:tblPr>
      <w:tcPr>
        <w:tcBorders>
          <w:top w:val="nil"/>
          <w:bottom w:val="nil"/>
          <w:insideH w:val="nil"/>
          <w:insideV w:val="nil"/>
        </w:tcBorders>
        <w:shd w:val="clear" w:color="auto" w:fill="D3DFEE"/>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78">
    <w:name w:val="Medium List 2 Accent 2"/>
    <w:basedOn w:val="32"/>
    <w:uiPriority w:val="99"/>
    <w:rPr>
      <w:rFonts w:ascii="Calibri" w:hAnsi="Calibri" w:eastAsia="MS Gothic" w:cs="Calibri"/>
      <w:color w:val="000000"/>
      <w:kern w:val="0"/>
      <w:sz w:val="20"/>
      <w:szCs w:val="20"/>
    </w:rPr>
    <w:tblPr>
      <w:tblBorders>
        <w:top w:val="single" w:color="C0504D" w:sz="8" w:space="0"/>
        <w:left w:val="single" w:color="C0504D" w:sz="8" w:space="0"/>
        <w:bottom w:val="single" w:color="C0504D" w:sz="8" w:space="0"/>
        <w:right w:val="single" w:color="C0504D"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C0504D" w:sz="24" w:space="0"/>
          <w:right w:val="nil"/>
          <w:insideH w:val="nil"/>
          <w:insideV w:val="nil"/>
        </w:tcBorders>
        <w:shd w:val="clear" w:color="auto" w:fill="FFFFFF"/>
      </w:tcPr>
    </w:tblStylePr>
    <w:tblStylePr w:type="lastRow">
      <w:tblPr>
        <w:tblLayout w:type="fixed"/>
      </w:tblPr>
      <w:tcPr>
        <w:tcBorders>
          <w:top w:val="single" w:color="C0504D"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C0504D" w:sz="8" w:space="0"/>
          <w:insideH w:val="nil"/>
          <w:insideV w:val="nil"/>
        </w:tcBorders>
        <w:shd w:val="clear" w:color="auto" w:fill="FFFFFF"/>
      </w:tcPr>
    </w:tblStylePr>
    <w:tblStylePr w:type="lastCol">
      <w:tblPr>
        <w:tblLayout w:type="fixed"/>
      </w:tblPr>
      <w:tcPr>
        <w:tcBorders>
          <w:top w:val="nil"/>
          <w:left w:val="single" w:color="C0504D" w:sz="8" w:space="0"/>
          <w:bottom w:val="nil"/>
          <w:right w:val="nil"/>
          <w:insideH w:val="nil"/>
          <w:insideV w:val="nil"/>
        </w:tcBorders>
        <w:shd w:val="clear" w:color="auto" w:fill="FFFFFF"/>
      </w:tcPr>
    </w:tblStylePr>
    <w:tblStylePr w:type="band1Vert">
      <w:tblPr>
        <w:tblLayout w:type="fixed"/>
      </w:tblPr>
      <w:tcPr>
        <w:tcBorders>
          <w:left w:val="nil"/>
          <w:right w:val="nil"/>
          <w:insideH w:val="nil"/>
          <w:insideV w:val="nil"/>
        </w:tcBorders>
        <w:shd w:val="clear" w:color="auto" w:fill="EFD3D2"/>
      </w:tcPr>
    </w:tblStylePr>
    <w:tblStylePr w:type="band1Horz">
      <w:tblPr>
        <w:tblLayout w:type="fixed"/>
      </w:tblPr>
      <w:tcPr>
        <w:tcBorders>
          <w:top w:val="nil"/>
          <w:bottom w:val="nil"/>
          <w:insideH w:val="nil"/>
          <w:insideV w:val="nil"/>
        </w:tcBorders>
        <w:shd w:val="clear" w:color="auto" w:fill="EFD3D2"/>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79">
    <w:name w:val="Medium List 2 Accent 3"/>
    <w:basedOn w:val="32"/>
    <w:uiPriority w:val="99"/>
    <w:rPr>
      <w:rFonts w:ascii="Calibri" w:hAnsi="Calibri" w:eastAsia="MS Gothic" w:cs="Calibri"/>
      <w:color w:val="000000"/>
      <w:kern w:val="0"/>
      <w:sz w:val="20"/>
      <w:szCs w:val="20"/>
    </w:rPr>
    <w:tblPr>
      <w:tblBorders>
        <w:top w:val="single" w:color="9BBB59" w:sz="8" w:space="0"/>
        <w:left w:val="single" w:color="9BBB59" w:sz="8" w:space="0"/>
        <w:bottom w:val="single" w:color="9BBB59" w:sz="8" w:space="0"/>
        <w:right w:val="single" w:color="9BBB59"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9BBB59" w:sz="24" w:space="0"/>
          <w:right w:val="nil"/>
          <w:insideH w:val="nil"/>
          <w:insideV w:val="nil"/>
        </w:tcBorders>
        <w:shd w:val="clear" w:color="auto" w:fill="FFFFFF"/>
      </w:tcPr>
    </w:tblStylePr>
    <w:tblStylePr w:type="lastRow">
      <w:tblPr>
        <w:tblLayout w:type="fixed"/>
      </w:tblPr>
      <w:tcPr>
        <w:tcBorders>
          <w:top w:val="single" w:color="9BBB59"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9BBB59" w:sz="8" w:space="0"/>
          <w:insideH w:val="nil"/>
          <w:insideV w:val="nil"/>
        </w:tcBorders>
        <w:shd w:val="clear" w:color="auto" w:fill="FFFFFF"/>
      </w:tcPr>
    </w:tblStylePr>
    <w:tblStylePr w:type="lastCol">
      <w:tblPr>
        <w:tblLayout w:type="fixed"/>
      </w:tblPr>
      <w:tcPr>
        <w:tcBorders>
          <w:top w:val="nil"/>
          <w:left w:val="single" w:color="9BBB59" w:sz="8" w:space="0"/>
          <w:bottom w:val="nil"/>
          <w:right w:val="nil"/>
          <w:insideH w:val="nil"/>
          <w:insideV w:val="nil"/>
        </w:tcBorders>
        <w:shd w:val="clear" w:color="auto" w:fill="FFFFFF"/>
      </w:tcPr>
    </w:tblStylePr>
    <w:tblStylePr w:type="band1Vert">
      <w:tblPr>
        <w:tblLayout w:type="fixed"/>
      </w:tblPr>
      <w:tcPr>
        <w:tcBorders>
          <w:left w:val="nil"/>
          <w:right w:val="nil"/>
          <w:insideH w:val="nil"/>
          <w:insideV w:val="nil"/>
        </w:tcBorders>
        <w:shd w:val="clear" w:color="auto" w:fill="E6EED5"/>
      </w:tcPr>
    </w:tblStylePr>
    <w:tblStylePr w:type="band1Horz">
      <w:tblPr>
        <w:tblLayout w:type="fixed"/>
      </w:tblPr>
      <w:tcPr>
        <w:tcBorders>
          <w:top w:val="nil"/>
          <w:bottom w:val="nil"/>
          <w:insideH w:val="nil"/>
          <w:insideV w:val="nil"/>
        </w:tcBorders>
        <w:shd w:val="clear" w:color="auto" w:fill="E6EED5"/>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80">
    <w:name w:val="Medium List 2 Accent 4"/>
    <w:basedOn w:val="32"/>
    <w:uiPriority w:val="99"/>
    <w:rPr>
      <w:rFonts w:ascii="Calibri" w:hAnsi="Calibri" w:eastAsia="MS Gothic" w:cs="Calibri"/>
      <w:color w:val="000000"/>
      <w:kern w:val="0"/>
      <w:sz w:val="20"/>
      <w:szCs w:val="20"/>
    </w:rPr>
    <w:tblPr>
      <w:tblBorders>
        <w:top w:val="single" w:color="8064A2" w:sz="8" w:space="0"/>
        <w:left w:val="single" w:color="8064A2" w:sz="8" w:space="0"/>
        <w:bottom w:val="single" w:color="8064A2" w:sz="8" w:space="0"/>
        <w:right w:val="single" w:color="8064A2"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8064A2" w:sz="24" w:space="0"/>
          <w:right w:val="nil"/>
          <w:insideH w:val="nil"/>
          <w:insideV w:val="nil"/>
        </w:tcBorders>
        <w:shd w:val="clear" w:color="auto" w:fill="FFFFFF"/>
      </w:tcPr>
    </w:tblStylePr>
    <w:tblStylePr w:type="lastRow">
      <w:tblPr>
        <w:tblLayout w:type="fixed"/>
      </w:tblPr>
      <w:tcPr>
        <w:tcBorders>
          <w:top w:val="single" w:color="8064A2"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8064A2" w:sz="8" w:space="0"/>
          <w:insideH w:val="nil"/>
          <w:insideV w:val="nil"/>
        </w:tcBorders>
        <w:shd w:val="clear" w:color="auto" w:fill="FFFFFF"/>
      </w:tcPr>
    </w:tblStylePr>
    <w:tblStylePr w:type="lastCol">
      <w:tblPr>
        <w:tblLayout w:type="fixed"/>
      </w:tblPr>
      <w:tcPr>
        <w:tcBorders>
          <w:top w:val="nil"/>
          <w:left w:val="single" w:color="8064A2" w:sz="8" w:space="0"/>
          <w:bottom w:val="nil"/>
          <w:right w:val="nil"/>
          <w:insideH w:val="nil"/>
          <w:insideV w:val="nil"/>
        </w:tcBorders>
        <w:shd w:val="clear" w:color="auto" w:fill="FFFFFF"/>
      </w:tcPr>
    </w:tblStylePr>
    <w:tblStylePr w:type="band1Vert">
      <w:tblPr>
        <w:tblLayout w:type="fixed"/>
      </w:tblPr>
      <w:tcPr>
        <w:tcBorders>
          <w:left w:val="nil"/>
          <w:right w:val="nil"/>
          <w:insideH w:val="nil"/>
          <w:insideV w:val="nil"/>
        </w:tcBorders>
        <w:shd w:val="clear" w:color="auto" w:fill="DFD8E8"/>
      </w:tcPr>
    </w:tblStylePr>
    <w:tblStylePr w:type="band1Horz">
      <w:tblPr>
        <w:tblLayout w:type="fixed"/>
      </w:tblPr>
      <w:tcPr>
        <w:tcBorders>
          <w:top w:val="nil"/>
          <w:bottom w:val="nil"/>
          <w:insideH w:val="nil"/>
          <w:insideV w:val="nil"/>
        </w:tcBorders>
        <w:shd w:val="clear" w:color="auto" w:fill="DFD8E8"/>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81">
    <w:name w:val="Medium List 2 Accent 5"/>
    <w:basedOn w:val="32"/>
    <w:qFormat/>
    <w:uiPriority w:val="99"/>
    <w:rPr>
      <w:rFonts w:ascii="Calibri" w:hAnsi="Calibri" w:eastAsia="MS Gothic" w:cs="Calibri"/>
      <w:color w:val="000000"/>
      <w:kern w:val="0"/>
      <w:sz w:val="20"/>
      <w:szCs w:val="20"/>
    </w:rPr>
    <w:tblPr>
      <w:tblBorders>
        <w:top w:val="single" w:color="4BACC6" w:sz="8" w:space="0"/>
        <w:left w:val="single" w:color="4BACC6" w:sz="8" w:space="0"/>
        <w:bottom w:val="single" w:color="4BACC6" w:sz="8" w:space="0"/>
        <w:right w:val="single" w:color="4BACC6"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4BACC6" w:sz="24" w:space="0"/>
          <w:right w:val="nil"/>
          <w:insideH w:val="nil"/>
          <w:insideV w:val="nil"/>
        </w:tcBorders>
        <w:shd w:val="clear" w:color="auto" w:fill="FFFFFF"/>
      </w:tcPr>
    </w:tblStylePr>
    <w:tblStylePr w:type="lastRow">
      <w:tblPr>
        <w:tblLayout w:type="fixed"/>
      </w:tblPr>
      <w:tcPr>
        <w:tcBorders>
          <w:top w:val="single" w:color="4BACC6"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4BACC6" w:sz="8" w:space="0"/>
          <w:insideH w:val="nil"/>
          <w:insideV w:val="nil"/>
        </w:tcBorders>
        <w:shd w:val="clear" w:color="auto" w:fill="FFFFFF"/>
      </w:tcPr>
    </w:tblStylePr>
    <w:tblStylePr w:type="lastCol">
      <w:tblPr>
        <w:tblLayout w:type="fixed"/>
      </w:tblPr>
      <w:tcPr>
        <w:tcBorders>
          <w:top w:val="nil"/>
          <w:left w:val="single" w:color="4BACC6" w:sz="8" w:space="0"/>
          <w:bottom w:val="nil"/>
          <w:right w:val="nil"/>
          <w:insideH w:val="nil"/>
          <w:insideV w:val="nil"/>
        </w:tcBorders>
        <w:shd w:val="clear" w:color="auto" w:fill="FFFFFF"/>
      </w:tcPr>
    </w:tblStylePr>
    <w:tblStylePr w:type="band1Vert">
      <w:tblPr>
        <w:tblLayout w:type="fixed"/>
      </w:tblPr>
      <w:tcPr>
        <w:tcBorders>
          <w:left w:val="nil"/>
          <w:right w:val="nil"/>
          <w:insideH w:val="nil"/>
          <w:insideV w:val="nil"/>
        </w:tcBorders>
        <w:shd w:val="clear" w:color="auto" w:fill="D2EAF1"/>
      </w:tcPr>
    </w:tblStylePr>
    <w:tblStylePr w:type="band1Horz">
      <w:tblPr>
        <w:tblLayout w:type="fixed"/>
      </w:tblPr>
      <w:tcPr>
        <w:tcBorders>
          <w:top w:val="nil"/>
          <w:bottom w:val="nil"/>
          <w:insideH w:val="nil"/>
          <w:insideV w:val="nil"/>
        </w:tcBorders>
        <w:shd w:val="clear" w:color="auto" w:fill="D2EAF1"/>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82">
    <w:name w:val="Medium List 2 Accent 6"/>
    <w:basedOn w:val="32"/>
    <w:qFormat/>
    <w:uiPriority w:val="99"/>
    <w:rPr>
      <w:rFonts w:ascii="Calibri" w:hAnsi="Calibri" w:eastAsia="MS Gothic" w:cs="Calibri"/>
      <w:color w:val="000000"/>
      <w:kern w:val="0"/>
      <w:sz w:val="20"/>
      <w:szCs w:val="20"/>
    </w:rPr>
    <w:tblPr>
      <w:tblBorders>
        <w:top w:val="single" w:color="F79646" w:sz="8" w:space="0"/>
        <w:left w:val="single" w:color="F79646" w:sz="8" w:space="0"/>
        <w:bottom w:val="single" w:color="F79646" w:sz="8" w:space="0"/>
        <w:right w:val="single" w:color="F79646"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F79646" w:sz="24" w:space="0"/>
          <w:right w:val="nil"/>
          <w:insideH w:val="nil"/>
          <w:insideV w:val="nil"/>
        </w:tcBorders>
        <w:shd w:val="clear" w:color="auto" w:fill="FFFFFF"/>
      </w:tcPr>
    </w:tblStylePr>
    <w:tblStylePr w:type="lastRow">
      <w:tblPr>
        <w:tblLayout w:type="fixed"/>
      </w:tblPr>
      <w:tcPr>
        <w:tcBorders>
          <w:top w:val="single" w:color="F79646"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F79646" w:sz="8" w:space="0"/>
          <w:insideH w:val="nil"/>
          <w:insideV w:val="nil"/>
        </w:tcBorders>
        <w:shd w:val="clear" w:color="auto" w:fill="FFFFFF"/>
      </w:tcPr>
    </w:tblStylePr>
    <w:tblStylePr w:type="lastCol">
      <w:tblPr>
        <w:tblLayout w:type="fixed"/>
      </w:tblPr>
      <w:tcPr>
        <w:tcBorders>
          <w:top w:val="nil"/>
          <w:left w:val="single" w:color="F79646" w:sz="8" w:space="0"/>
          <w:bottom w:val="nil"/>
          <w:right w:val="nil"/>
          <w:insideH w:val="nil"/>
          <w:insideV w:val="nil"/>
        </w:tcBorders>
        <w:shd w:val="clear" w:color="auto" w:fill="FFFFFF"/>
      </w:tcPr>
    </w:tblStylePr>
    <w:tblStylePr w:type="band1Vert">
      <w:tblPr>
        <w:tblLayout w:type="fixed"/>
      </w:tblPr>
      <w:tcPr>
        <w:tcBorders>
          <w:left w:val="nil"/>
          <w:right w:val="nil"/>
          <w:insideH w:val="nil"/>
          <w:insideV w:val="nil"/>
        </w:tcBorders>
        <w:shd w:val="clear" w:color="auto" w:fill="FDE4D0"/>
      </w:tcPr>
    </w:tblStylePr>
    <w:tblStylePr w:type="band1Horz">
      <w:tblPr>
        <w:tblLayout w:type="fixed"/>
      </w:tblPr>
      <w:tcPr>
        <w:tcBorders>
          <w:top w:val="nil"/>
          <w:bottom w:val="nil"/>
          <w:insideH w:val="nil"/>
          <w:insideV w:val="nil"/>
        </w:tcBorders>
        <w:shd w:val="clear" w:color="auto" w:fill="FDE4D0"/>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83">
    <w:name w:val="Medium Grid 1"/>
    <w:basedOn w:val="32"/>
    <w:qFormat/>
    <w:uiPriority w:val="99"/>
    <w:rPr>
      <w:rFonts w:cs="Cambria"/>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Layout w:type="fixed"/>
      <w:tblCellMar>
        <w:top w:w="0" w:type="dxa"/>
        <w:left w:w="108" w:type="dxa"/>
        <w:bottom w:w="0" w:type="dxa"/>
        <w:right w:w="108" w:type="dxa"/>
      </w:tblCellMar>
    </w:tblPr>
    <w:tcPr>
      <w:shd w:val="clear" w:color="auto" w:fill="C0C0C0"/>
    </w:tcPr>
    <w:tblStylePr w:type="firstRow">
      <w:rPr>
        <w:b/>
        <w:bCs/>
      </w:rPr>
    </w:tblStylePr>
    <w:tblStylePr w:type="lastRow">
      <w:rPr>
        <w:b/>
        <w:bCs/>
      </w:rPr>
      <w:tblPr>
        <w:tblLayout w:type="fixed"/>
      </w:tblPr>
      <w:tcPr>
        <w:tcBorders>
          <w:top w:val="single" w:color="404040" w:sz="18" w:space="0"/>
        </w:tcBorders>
      </w:tcPr>
    </w:tblStylePr>
    <w:tblStylePr w:type="firstCol">
      <w:rPr>
        <w:b/>
        <w:bCs/>
      </w:rPr>
    </w:tblStylePr>
    <w:tblStylePr w:type="lastCol">
      <w:rPr>
        <w:b/>
        <w:bCs/>
      </w:rPr>
    </w:tblStylePr>
    <w:tblStylePr w:type="band1Vert">
      <w:tblPr>
        <w:tblLayout w:type="fixed"/>
      </w:tblPr>
      <w:tcPr>
        <w:shd w:val="clear" w:color="auto" w:fill="808080"/>
      </w:tcPr>
    </w:tblStylePr>
    <w:tblStylePr w:type="band1Horz">
      <w:tblPr>
        <w:tblLayout w:type="fixed"/>
      </w:tblPr>
      <w:tcPr>
        <w:shd w:val="clear" w:color="auto" w:fill="808080"/>
      </w:tcPr>
    </w:tblStylePr>
  </w:style>
  <w:style w:type="table" w:styleId="84">
    <w:name w:val="Medium Grid 1 Accent 1"/>
    <w:basedOn w:val="32"/>
    <w:uiPriority w:val="99"/>
    <w:rPr>
      <w:rFonts w:cs="Cambria"/>
      <w:kern w:val="0"/>
      <w:sz w:val="20"/>
      <w:szCs w:val="20"/>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Layout w:type="fixed"/>
      <w:tblCellMar>
        <w:top w:w="0" w:type="dxa"/>
        <w:left w:w="108" w:type="dxa"/>
        <w:bottom w:w="0" w:type="dxa"/>
        <w:right w:w="108" w:type="dxa"/>
      </w:tblCellMar>
    </w:tblPr>
    <w:tcPr>
      <w:shd w:val="clear" w:color="auto" w:fill="D3DFEE"/>
    </w:tcPr>
    <w:tblStylePr w:type="firstRow">
      <w:rPr>
        <w:b/>
        <w:bCs/>
      </w:rPr>
    </w:tblStylePr>
    <w:tblStylePr w:type="lastRow">
      <w:rPr>
        <w:b/>
        <w:bCs/>
      </w:rPr>
      <w:tblPr>
        <w:tblLayout w:type="fixed"/>
      </w:tblPr>
      <w:tcPr>
        <w:tcBorders>
          <w:top w:val="single" w:color="7BA0CD" w:sz="18" w:space="0"/>
        </w:tcBorders>
      </w:tcPr>
    </w:tblStylePr>
    <w:tblStylePr w:type="firstCol">
      <w:rPr>
        <w:b/>
        <w:bCs/>
      </w:rPr>
    </w:tblStylePr>
    <w:tblStylePr w:type="lastCol">
      <w:rPr>
        <w:b/>
        <w:bCs/>
      </w:rPr>
    </w:tblStylePr>
    <w:tblStylePr w:type="band1Vert">
      <w:tblPr>
        <w:tblLayout w:type="fixed"/>
      </w:tblPr>
      <w:tcPr>
        <w:shd w:val="clear" w:color="auto" w:fill="A7BFDE"/>
      </w:tcPr>
    </w:tblStylePr>
    <w:tblStylePr w:type="band1Horz">
      <w:tblPr>
        <w:tblLayout w:type="fixed"/>
      </w:tblPr>
      <w:tcPr>
        <w:shd w:val="clear" w:color="auto" w:fill="A7BFDE"/>
      </w:tcPr>
    </w:tblStylePr>
  </w:style>
  <w:style w:type="table" w:styleId="85">
    <w:name w:val="Medium Grid 1 Accent 2"/>
    <w:basedOn w:val="32"/>
    <w:uiPriority w:val="99"/>
    <w:rPr>
      <w:rFonts w:cs="Cambria"/>
      <w:kern w:val="0"/>
      <w:sz w:val="20"/>
      <w:szCs w:val="20"/>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CellMar>
        <w:top w:w="0" w:type="dxa"/>
        <w:left w:w="108" w:type="dxa"/>
        <w:bottom w:w="0" w:type="dxa"/>
        <w:right w:w="108" w:type="dxa"/>
      </w:tblCellMar>
    </w:tblPr>
    <w:tcPr>
      <w:shd w:val="clear" w:color="auto" w:fill="EFD3D2"/>
    </w:tcPr>
    <w:tblStylePr w:type="firstRow">
      <w:rPr>
        <w:b/>
        <w:bCs/>
      </w:rPr>
    </w:tblStylePr>
    <w:tblStylePr w:type="lastRow">
      <w:rPr>
        <w:b/>
        <w:bCs/>
      </w:rPr>
      <w:tblPr>
        <w:tblLayout w:type="fixed"/>
      </w:tblPr>
      <w:tcPr>
        <w:tcBorders>
          <w:top w:val="single" w:color="CF7B79" w:sz="18" w:space="0"/>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table" w:styleId="86">
    <w:name w:val="Medium Grid 1 Accent 3"/>
    <w:basedOn w:val="32"/>
    <w:uiPriority w:val="99"/>
    <w:rPr>
      <w:rFonts w:cs="Cambria"/>
      <w:kern w:val="0"/>
      <w:sz w:val="20"/>
      <w:szCs w:val="20"/>
    </w:rPr>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Layout w:type="fixed"/>
      <w:tblCellMar>
        <w:top w:w="0" w:type="dxa"/>
        <w:left w:w="108" w:type="dxa"/>
        <w:bottom w:w="0" w:type="dxa"/>
        <w:right w:w="108" w:type="dxa"/>
      </w:tblCellMar>
    </w:tblPr>
    <w:tcPr>
      <w:shd w:val="clear" w:color="auto" w:fill="E6EED5"/>
    </w:tcPr>
    <w:tblStylePr w:type="firstRow">
      <w:rPr>
        <w:b/>
        <w:bCs/>
      </w:rPr>
    </w:tblStylePr>
    <w:tblStylePr w:type="lastRow">
      <w:rPr>
        <w:b/>
        <w:bCs/>
      </w:rPr>
      <w:tblPr>
        <w:tblLayout w:type="fixed"/>
      </w:tblPr>
      <w:tcPr>
        <w:tcBorders>
          <w:top w:val="single" w:color="B3CC82" w:sz="18" w:space="0"/>
        </w:tcBorders>
      </w:tcPr>
    </w:tblStylePr>
    <w:tblStylePr w:type="firstCol">
      <w:rPr>
        <w:b/>
        <w:bCs/>
      </w:rPr>
    </w:tblStylePr>
    <w:tblStylePr w:type="lastCol">
      <w:rPr>
        <w:b/>
        <w:bCs/>
      </w:rPr>
    </w:tblStylePr>
    <w:tblStylePr w:type="band1Vert">
      <w:tblPr>
        <w:tblLayout w:type="fixed"/>
      </w:tblPr>
      <w:tcPr>
        <w:shd w:val="clear" w:color="auto" w:fill="CDDDAC"/>
      </w:tcPr>
    </w:tblStylePr>
    <w:tblStylePr w:type="band1Horz">
      <w:tblPr>
        <w:tblLayout w:type="fixed"/>
      </w:tblPr>
      <w:tcPr>
        <w:shd w:val="clear" w:color="auto" w:fill="CDDDAC"/>
      </w:tcPr>
    </w:tblStylePr>
  </w:style>
  <w:style w:type="table" w:styleId="87">
    <w:name w:val="Medium Grid 1 Accent 4"/>
    <w:basedOn w:val="32"/>
    <w:uiPriority w:val="99"/>
    <w:rPr>
      <w:rFonts w:cs="Cambria"/>
      <w:kern w:val="0"/>
      <w:sz w:val="20"/>
      <w:szCs w:val="20"/>
    </w:rPr>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Layout w:type="fixed"/>
      <w:tblCellMar>
        <w:top w:w="0" w:type="dxa"/>
        <w:left w:w="108" w:type="dxa"/>
        <w:bottom w:w="0" w:type="dxa"/>
        <w:right w:w="108" w:type="dxa"/>
      </w:tblCellMar>
    </w:tblPr>
    <w:tcPr>
      <w:shd w:val="clear" w:color="auto" w:fill="DFD8E8"/>
    </w:tcPr>
    <w:tblStylePr w:type="firstRow">
      <w:rPr>
        <w:b/>
        <w:bCs/>
      </w:rPr>
    </w:tblStylePr>
    <w:tblStylePr w:type="lastRow">
      <w:rPr>
        <w:b/>
        <w:bCs/>
      </w:rPr>
      <w:tblPr>
        <w:tblLayout w:type="fixed"/>
      </w:tblPr>
      <w:tcPr>
        <w:tcBorders>
          <w:top w:val="single" w:color="9F8AB9" w:sz="18" w:space="0"/>
        </w:tcBorders>
      </w:tcPr>
    </w:tblStylePr>
    <w:tblStylePr w:type="firstCol">
      <w:rPr>
        <w:b/>
        <w:bCs/>
      </w:rPr>
    </w:tblStylePr>
    <w:tblStylePr w:type="lastCol">
      <w:rPr>
        <w:b/>
        <w:bCs/>
      </w:rPr>
    </w:tblStylePr>
    <w:tblStylePr w:type="band1Vert">
      <w:tblPr>
        <w:tblLayout w:type="fixed"/>
      </w:tblPr>
      <w:tcPr>
        <w:shd w:val="clear" w:color="auto" w:fill="BFB1D0"/>
      </w:tcPr>
    </w:tblStylePr>
    <w:tblStylePr w:type="band1Horz">
      <w:tblPr>
        <w:tblLayout w:type="fixed"/>
      </w:tblPr>
      <w:tcPr>
        <w:shd w:val="clear" w:color="auto" w:fill="BFB1D0"/>
      </w:tcPr>
    </w:tblStylePr>
  </w:style>
  <w:style w:type="table" w:styleId="88">
    <w:name w:val="Medium Grid 1 Accent 5"/>
    <w:basedOn w:val="32"/>
    <w:uiPriority w:val="99"/>
    <w:rPr>
      <w:rFonts w:cs="Cambria"/>
      <w:kern w:val="0"/>
      <w:sz w:val="20"/>
      <w:szCs w:val="20"/>
    </w:r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Layout w:type="fixed"/>
      <w:tblCellMar>
        <w:top w:w="0" w:type="dxa"/>
        <w:left w:w="108" w:type="dxa"/>
        <w:bottom w:w="0" w:type="dxa"/>
        <w:right w:w="108" w:type="dxa"/>
      </w:tblCellMar>
    </w:tblPr>
    <w:tcPr>
      <w:shd w:val="clear" w:color="auto" w:fill="D2EAF1"/>
    </w:tcPr>
    <w:tblStylePr w:type="firstRow">
      <w:rPr>
        <w:b/>
        <w:bCs/>
      </w:rPr>
    </w:tblStylePr>
    <w:tblStylePr w:type="lastRow">
      <w:rPr>
        <w:b/>
        <w:bCs/>
      </w:rPr>
      <w:tblPr>
        <w:tblLayout w:type="fixed"/>
      </w:tblPr>
      <w:tcPr>
        <w:tcBorders>
          <w:top w:val="single" w:color="78C0D4" w:sz="18" w:space="0"/>
        </w:tcBorders>
      </w:tcPr>
    </w:tblStylePr>
    <w:tblStylePr w:type="firstCol">
      <w:rPr>
        <w:b/>
        <w:bCs/>
      </w:rPr>
    </w:tblStylePr>
    <w:tblStylePr w:type="lastCol">
      <w:rPr>
        <w:b/>
        <w:bCs/>
      </w:rPr>
    </w:tblStylePr>
    <w:tblStylePr w:type="band1Vert">
      <w:tblPr>
        <w:tblLayout w:type="fixed"/>
      </w:tblPr>
      <w:tcPr>
        <w:shd w:val="clear" w:color="auto" w:fill="A5D5E2"/>
      </w:tcPr>
    </w:tblStylePr>
    <w:tblStylePr w:type="band1Horz">
      <w:tblPr>
        <w:tblLayout w:type="fixed"/>
      </w:tblPr>
      <w:tcPr>
        <w:shd w:val="clear" w:color="auto" w:fill="A5D5E2"/>
      </w:tcPr>
    </w:tblStylePr>
  </w:style>
  <w:style w:type="table" w:styleId="89">
    <w:name w:val="Medium Grid 1 Accent 6"/>
    <w:basedOn w:val="32"/>
    <w:uiPriority w:val="99"/>
    <w:rPr>
      <w:rFonts w:cs="Cambria"/>
      <w:kern w:val="0"/>
      <w:sz w:val="20"/>
      <w:szCs w:val="20"/>
    </w:rPr>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Layout w:type="fixed"/>
      <w:tblCellMar>
        <w:top w:w="0" w:type="dxa"/>
        <w:left w:w="108" w:type="dxa"/>
        <w:bottom w:w="0" w:type="dxa"/>
        <w:right w:w="108" w:type="dxa"/>
      </w:tblCellMar>
    </w:tblPr>
    <w:tcPr>
      <w:shd w:val="clear" w:color="auto" w:fill="FDE4D0"/>
    </w:tcPr>
    <w:tblStylePr w:type="firstRow">
      <w:rPr>
        <w:b/>
        <w:bCs/>
      </w:rPr>
    </w:tblStylePr>
    <w:tblStylePr w:type="lastRow">
      <w:rPr>
        <w:b/>
        <w:bCs/>
      </w:rPr>
      <w:tblPr>
        <w:tblLayout w:type="fixed"/>
      </w:tblPr>
      <w:tcPr>
        <w:tcBorders>
          <w:top w:val="single" w:color="F9B074" w:sz="18" w:space="0"/>
        </w:tcBorders>
      </w:tcPr>
    </w:tblStylePr>
    <w:tblStylePr w:type="firstCol">
      <w:rPr>
        <w:b/>
        <w:bCs/>
      </w:rPr>
    </w:tblStylePr>
    <w:tblStylePr w:type="lastCol">
      <w:rPr>
        <w:b/>
        <w:bCs/>
      </w:rPr>
    </w:tblStylePr>
    <w:tblStylePr w:type="band1Vert">
      <w:tblPr>
        <w:tblLayout w:type="fixed"/>
      </w:tblPr>
      <w:tcPr>
        <w:shd w:val="clear" w:color="auto" w:fill="FBCAA2"/>
      </w:tcPr>
    </w:tblStylePr>
    <w:tblStylePr w:type="band1Horz">
      <w:tblPr>
        <w:tblLayout w:type="fixed"/>
      </w:tblPr>
      <w:tcPr>
        <w:shd w:val="clear" w:color="auto" w:fill="FBCAA2"/>
      </w:tcPr>
    </w:tblStylePr>
  </w:style>
  <w:style w:type="table" w:styleId="90">
    <w:name w:val="Medium Grid 2"/>
    <w:basedOn w:val="32"/>
    <w:qFormat/>
    <w:uiPriority w:val="99"/>
    <w:rPr>
      <w:rFonts w:ascii="Calibri" w:hAnsi="Calibri" w:eastAsia="MS Gothic" w:cs="Calibri"/>
      <w:color w:val="000000"/>
      <w:kern w:val="0"/>
      <w:sz w:val="20"/>
      <w:szCs w:val="2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cPr>
      <w:shd w:val="clear" w:color="auto" w:fill="C0C0C0"/>
    </w:tcPr>
    <w:tblStylePr w:type="firstRow">
      <w:rPr>
        <w:b/>
        <w:bCs/>
        <w:color w:val="000000"/>
      </w:rPr>
      <w:tblPr>
        <w:tblLayout w:type="fixed"/>
      </w:tblPr>
      <w:tcPr>
        <w:shd w:val="clear" w:color="auto" w:fill="E6E6E6"/>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CCCCCC"/>
      </w:tcPr>
    </w:tblStylePr>
    <w:tblStylePr w:type="band1Vert">
      <w:tblPr>
        <w:tblLayout w:type="fixed"/>
      </w:tblPr>
      <w:tcPr>
        <w:shd w:val="clear" w:color="auto" w:fill="808080"/>
      </w:tcPr>
    </w:tblStylePr>
    <w:tblStylePr w:type="band1Horz">
      <w:tblPr>
        <w:tblLayout w:type="fixed"/>
      </w:tblPr>
      <w:tcPr>
        <w:tcBorders>
          <w:insideH w:val="single" w:sz="6" w:space="0"/>
          <w:insideV w:val="single" w:sz="6" w:space="0"/>
        </w:tcBorders>
        <w:shd w:val="clear" w:color="auto" w:fill="808080"/>
      </w:tcPr>
    </w:tblStylePr>
    <w:tblStylePr w:type="nwCell">
      <w:tblPr>
        <w:tblLayout w:type="fixed"/>
      </w:tblPr>
      <w:tcPr>
        <w:shd w:val="clear" w:color="auto" w:fill="FFFFFF"/>
      </w:tcPr>
    </w:tblStylePr>
  </w:style>
  <w:style w:type="table" w:styleId="91">
    <w:name w:val="Medium Grid 2 Accent 1"/>
    <w:basedOn w:val="32"/>
    <w:uiPriority w:val="99"/>
    <w:rPr>
      <w:rFonts w:ascii="Calibri" w:hAnsi="Calibri" w:eastAsia="MS Gothic" w:cs="Calibri"/>
      <w:color w:val="000000"/>
      <w:kern w:val="0"/>
      <w:sz w:val="20"/>
      <w:szCs w:val="2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108" w:type="dxa"/>
        <w:bottom w:w="0" w:type="dxa"/>
        <w:right w:w="108" w:type="dxa"/>
      </w:tblCellMar>
    </w:tblPr>
    <w:tcPr>
      <w:shd w:val="clear" w:color="auto" w:fill="D3DFEE"/>
    </w:tcPr>
    <w:tblStylePr w:type="firstRow">
      <w:rPr>
        <w:b/>
        <w:bCs/>
        <w:color w:val="000000"/>
      </w:rPr>
      <w:tblPr>
        <w:tblLayout w:type="fixed"/>
      </w:tblPr>
      <w:tcPr>
        <w:shd w:val="clear" w:color="auto" w:fill="EDF2F8"/>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DBE5F1"/>
      </w:tcPr>
    </w:tblStylePr>
    <w:tblStylePr w:type="band1Vert">
      <w:tblPr>
        <w:tblLayout w:type="fixed"/>
      </w:tblPr>
      <w:tcPr>
        <w:shd w:val="clear" w:color="auto" w:fill="A7BFDE"/>
      </w:tcPr>
    </w:tblStylePr>
    <w:tblStylePr w:type="band1Horz">
      <w:tblPr>
        <w:tblLayout w:type="fixed"/>
      </w:tblPr>
      <w:tcPr>
        <w:tcBorders>
          <w:insideH w:val="single" w:sz="6" w:space="0"/>
          <w:insideV w:val="single" w:sz="6" w:space="0"/>
        </w:tcBorders>
        <w:shd w:val="clear" w:color="auto" w:fill="A7BFDE"/>
      </w:tcPr>
    </w:tblStylePr>
    <w:tblStylePr w:type="nwCell">
      <w:tblPr>
        <w:tblLayout w:type="fixed"/>
      </w:tblPr>
      <w:tcPr>
        <w:shd w:val="clear" w:color="auto" w:fill="FFFFFF"/>
      </w:tcPr>
    </w:tblStylePr>
  </w:style>
  <w:style w:type="table" w:styleId="92">
    <w:name w:val="Medium Grid 2 Accent 2"/>
    <w:basedOn w:val="32"/>
    <w:qFormat/>
    <w:uiPriority w:val="99"/>
    <w:rPr>
      <w:rFonts w:ascii="Calibri" w:hAnsi="Calibri" w:eastAsia="MS Gothic" w:cs="Calibri"/>
      <w:color w:val="000000"/>
      <w:kern w:val="0"/>
      <w:sz w:val="20"/>
      <w:szCs w:val="2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Layout w:type="fixed"/>
      <w:tblCellMar>
        <w:top w:w="0" w:type="dxa"/>
        <w:left w:w="108" w:type="dxa"/>
        <w:bottom w:w="0" w:type="dxa"/>
        <w:right w:w="108" w:type="dxa"/>
      </w:tblCellMar>
    </w:tblPr>
    <w:tcPr>
      <w:shd w:val="clear" w:color="auto" w:fill="EFD3D2"/>
    </w:tcPr>
    <w:tblStylePr w:type="firstRow">
      <w:rPr>
        <w:b/>
        <w:bCs/>
        <w:color w:val="000000"/>
      </w:rPr>
      <w:tblPr>
        <w:tblLayout w:type="fixed"/>
      </w:tblPr>
      <w:tcPr>
        <w:shd w:val="clear" w:color="auto" w:fill="F8EDED"/>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F2DBDB"/>
      </w:tcPr>
    </w:tblStylePr>
    <w:tblStylePr w:type="band1Vert">
      <w:tblPr>
        <w:tblLayout w:type="fixed"/>
      </w:tblPr>
      <w:tcPr>
        <w:shd w:val="clear" w:color="auto" w:fill="DFA7A6"/>
      </w:tcPr>
    </w:tblStylePr>
    <w:tblStylePr w:type="band1Horz">
      <w:tblPr>
        <w:tblLayout w:type="fixed"/>
      </w:tblPr>
      <w:tcPr>
        <w:tcBorders>
          <w:insideH w:val="single" w:sz="6" w:space="0"/>
          <w:insideV w:val="single" w:sz="6" w:space="0"/>
        </w:tcBorders>
        <w:shd w:val="clear" w:color="auto" w:fill="DFA7A6"/>
      </w:tcPr>
    </w:tblStylePr>
    <w:tblStylePr w:type="nwCell">
      <w:tblPr>
        <w:tblLayout w:type="fixed"/>
      </w:tblPr>
      <w:tcPr>
        <w:shd w:val="clear" w:color="auto" w:fill="FFFFFF"/>
      </w:tcPr>
    </w:tblStylePr>
  </w:style>
  <w:style w:type="table" w:styleId="93">
    <w:name w:val="Medium Grid 2 Accent 3"/>
    <w:basedOn w:val="32"/>
    <w:uiPriority w:val="99"/>
    <w:rPr>
      <w:rFonts w:ascii="Calibri" w:hAnsi="Calibri" w:eastAsia="MS Gothic" w:cs="Calibri"/>
      <w:color w:val="000000"/>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Layout w:type="fixed"/>
      <w:tblCellMar>
        <w:top w:w="0" w:type="dxa"/>
        <w:left w:w="108" w:type="dxa"/>
        <w:bottom w:w="0" w:type="dxa"/>
        <w:right w:w="108" w:type="dxa"/>
      </w:tblCellMar>
    </w:tblPr>
    <w:tcPr>
      <w:shd w:val="clear" w:color="auto" w:fill="E6EED5"/>
    </w:tcPr>
    <w:tblStylePr w:type="firstRow">
      <w:rPr>
        <w:b/>
        <w:bCs/>
        <w:color w:val="000000"/>
      </w:rPr>
      <w:tblPr>
        <w:tblLayout w:type="fixed"/>
      </w:tblPr>
      <w:tcPr>
        <w:shd w:val="clear" w:color="auto" w:fill="F5F8EE"/>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EAF1DD"/>
      </w:tcPr>
    </w:tblStylePr>
    <w:tblStylePr w:type="band1Vert">
      <w:tblPr>
        <w:tblLayout w:type="fixed"/>
      </w:tblPr>
      <w:tcPr>
        <w:shd w:val="clear" w:color="auto" w:fill="CDDDAC"/>
      </w:tcPr>
    </w:tblStylePr>
    <w:tblStylePr w:type="band1Horz">
      <w:tblPr>
        <w:tblLayout w:type="fixed"/>
      </w:tblPr>
      <w:tcPr>
        <w:tcBorders>
          <w:insideH w:val="single" w:sz="6" w:space="0"/>
          <w:insideV w:val="single" w:sz="6" w:space="0"/>
        </w:tcBorders>
        <w:shd w:val="clear" w:color="auto" w:fill="CDDDAC"/>
      </w:tcPr>
    </w:tblStylePr>
    <w:tblStylePr w:type="nwCell">
      <w:tblPr>
        <w:tblLayout w:type="fixed"/>
      </w:tblPr>
      <w:tcPr>
        <w:shd w:val="clear" w:color="auto" w:fill="FFFFFF"/>
      </w:tcPr>
    </w:tblStylePr>
  </w:style>
  <w:style w:type="table" w:styleId="94">
    <w:name w:val="Medium Grid 2 Accent 4"/>
    <w:basedOn w:val="32"/>
    <w:qFormat/>
    <w:uiPriority w:val="99"/>
    <w:rPr>
      <w:rFonts w:ascii="Calibri" w:hAnsi="Calibri" w:eastAsia="MS Gothic" w:cs="Calibri"/>
      <w:color w:val="000000"/>
      <w:kern w:val="0"/>
      <w:sz w:val="20"/>
      <w:szCs w:val="2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Layout w:type="fixed"/>
      <w:tblCellMar>
        <w:top w:w="0" w:type="dxa"/>
        <w:left w:w="108" w:type="dxa"/>
        <w:bottom w:w="0" w:type="dxa"/>
        <w:right w:w="108" w:type="dxa"/>
      </w:tblCellMar>
    </w:tblPr>
    <w:tcPr>
      <w:shd w:val="clear" w:color="auto" w:fill="DFD8E8"/>
    </w:tcPr>
    <w:tblStylePr w:type="firstRow">
      <w:rPr>
        <w:b/>
        <w:bCs/>
        <w:color w:val="000000"/>
      </w:rPr>
      <w:tblPr>
        <w:tblLayout w:type="fixed"/>
      </w:tblPr>
      <w:tcPr>
        <w:shd w:val="clear" w:color="auto" w:fill="F2EFF6"/>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E5DFEC"/>
      </w:tcPr>
    </w:tblStylePr>
    <w:tblStylePr w:type="band1Vert">
      <w:tblPr>
        <w:tblLayout w:type="fixed"/>
      </w:tblPr>
      <w:tcPr>
        <w:shd w:val="clear" w:color="auto" w:fill="BFB1D0"/>
      </w:tcPr>
    </w:tblStylePr>
    <w:tblStylePr w:type="band1Horz">
      <w:tblPr>
        <w:tblLayout w:type="fixed"/>
      </w:tblPr>
      <w:tcPr>
        <w:tcBorders>
          <w:insideH w:val="single" w:sz="6" w:space="0"/>
          <w:insideV w:val="single" w:sz="6" w:space="0"/>
        </w:tcBorders>
        <w:shd w:val="clear" w:color="auto" w:fill="BFB1D0"/>
      </w:tcPr>
    </w:tblStylePr>
    <w:tblStylePr w:type="nwCell">
      <w:tblPr>
        <w:tblLayout w:type="fixed"/>
      </w:tblPr>
      <w:tcPr>
        <w:shd w:val="clear" w:color="auto" w:fill="FFFFFF"/>
      </w:tcPr>
    </w:tblStylePr>
  </w:style>
  <w:style w:type="table" w:styleId="95">
    <w:name w:val="Medium Grid 2 Accent 5"/>
    <w:basedOn w:val="32"/>
    <w:qFormat/>
    <w:uiPriority w:val="99"/>
    <w:rPr>
      <w:rFonts w:ascii="Calibri" w:hAnsi="Calibri" w:eastAsia="MS Gothic" w:cs="Calibri"/>
      <w:color w:val="000000"/>
      <w:kern w:val="0"/>
      <w:sz w:val="20"/>
      <w:szCs w:val="2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Layout w:type="fixed"/>
      <w:tblCellMar>
        <w:top w:w="0" w:type="dxa"/>
        <w:left w:w="108" w:type="dxa"/>
        <w:bottom w:w="0" w:type="dxa"/>
        <w:right w:w="108" w:type="dxa"/>
      </w:tblCellMar>
    </w:tblPr>
    <w:tcPr>
      <w:shd w:val="clear" w:color="auto" w:fill="D2EAF1"/>
    </w:tcPr>
    <w:tblStylePr w:type="firstRow">
      <w:rPr>
        <w:b/>
        <w:bCs/>
        <w:color w:val="000000"/>
      </w:rPr>
      <w:tblPr>
        <w:tblLayout w:type="fixed"/>
      </w:tblPr>
      <w:tcPr>
        <w:shd w:val="clear" w:color="auto" w:fill="EDF6F9"/>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DAEEF3"/>
      </w:tcPr>
    </w:tblStylePr>
    <w:tblStylePr w:type="band1Vert">
      <w:tblPr>
        <w:tblLayout w:type="fixed"/>
      </w:tblPr>
      <w:tcPr>
        <w:shd w:val="clear" w:color="auto" w:fill="A5D5E2"/>
      </w:tcPr>
    </w:tblStylePr>
    <w:tblStylePr w:type="band1Horz">
      <w:tblPr>
        <w:tblLayout w:type="fixed"/>
      </w:tblPr>
      <w:tcPr>
        <w:tcBorders>
          <w:insideH w:val="single" w:sz="6" w:space="0"/>
          <w:insideV w:val="single" w:sz="6" w:space="0"/>
        </w:tcBorders>
        <w:shd w:val="clear" w:color="auto" w:fill="A5D5E2"/>
      </w:tcPr>
    </w:tblStylePr>
    <w:tblStylePr w:type="nwCell">
      <w:tblPr>
        <w:tblLayout w:type="fixed"/>
      </w:tblPr>
      <w:tcPr>
        <w:shd w:val="clear" w:color="auto" w:fill="FFFFFF"/>
      </w:tcPr>
    </w:tblStylePr>
  </w:style>
  <w:style w:type="table" w:styleId="96">
    <w:name w:val="Medium Grid 2 Accent 6"/>
    <w:basedOn w:val="32"/>
    <w:qFormat/>
    <w:uiPriority w:val="99"/>
    <w:rPr>
      <w:rFonts w:ascii="Calibri" w:hAnsi="Calibri" w:eastAsia="MS Gothic" w:cs="Calibri"/>
      <w:color w:val="000000"/>
      <w:kern w:val="0"/>
      <w:sz w:val="20"/>
      <w:szCs w:val="2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Layout w:type="fixed"/>
      <w:tblCellMar>
        <w:top w:w="0" w:type="dxa"/>
        <w:left w:w="108" w:type="dxa"/>
        <w:bottom w:w="0" w:type="dxa"/>
        <w:right w:w="108" w:type="dxa"/>
      </w:tblCellMar>
    </w:tblPr>
    <w:tcPr>
      <w:shd w:val="clear" w:color="auto" w:fill="FDE4D0"/>
    </w:tcPr>
    <w:tblStylePr w:type="firstRow">
      <w:rPr>
        <w:b/>
        <w:bCs/>
        <w:color w:val="000000"/>
      </w:rPr>
      <w:tblPr>
        <w:tblLayout w:type="fixed"/>
      </w:tblPr>
      <w:tcPr>
        <w:shd w:val="clear" w:color="auto" w:fill="FEF4EC"/>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FDE9D9"/>
      </w:tcPr>
    </w:tblStylePr>
    <w:tblStylePr w:type="band1Vert">
      <w:tblPr>
        <w:tblLayout w:type="fixed"/>
      </w:tblPr>
      <w:tcPr>
        <w:shd w:val="clear" w:color="auto" w:fill="FBCAA2"/>
      </w:tcPr>
    </w:tblStylePr>
    <w:tblStylePr w:type="band1Horz">
      <w:tblPr>
        <w:tblLayout w:type="fixed"/>
      </w:tblPr>
      <w:tcPr>
        <w:tcBorders>
          <w:insideH w:val="single" w:sz="6" w:space="0"/>
          <w:insideV w:val="single" w:sz="6" w:space="0"/>
        </w:tcBorders>
        <w:shd w:val="clear" w:color="auto" w:fill="FBCAA2"/>
      </w:tcPr>
    </w:tblStylePr>
    <w:tblStylePr w:type="nwCell">
      <w:tblPr>
        <w:tblLayout w:type="fixed"/>
      </w:tblPr>
      <w:tcPr>
        <w:shd w:val="clear" w:color="auto" w:fill="FFFFFF"/>
      </w:tcPr>
    </w:tblStylePr>
  </w:style>
  <w:style w:type="table" w:styleId="97">
    <w:name w:val="Medium Grid 3"/>
    <w:basedOn w:val="32"/>
    <w:uiPriority w:val="99"/>
    <w:rPr>
      <w:rFonts w:cs="Cambria"/>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C0C0C0"/>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blLayout w:type="fixed"/>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blLayout w:type="fixed"/>
      </w:tblPr>
      <w:tcPr>
        <w:tcBorders>
          <w:top w:val="nil"/>
          <w:left w:val="single" w:color="FFFFFF" w:sz="24" w:space="0"/>
          <w:bottom w:val="nil"/>
          <w:right w:val="nil"/>
          <w:insideH w:val="nil"/>
          <w:insideV w:val="nil"/>
        </w:tcBorders>
        <w:shd w:val="clear" w:color="auto" w:fill="000000"/>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98">
    <w:name w:val="Medium Grid 3 Accent 1"/>
    <w:basedOn w:val="32"/>
    <w:qFormat/>
    <w:uiPriority w:val="99"/>
    <w:rPr>
      <w:rFonts w:cs="Cambria"/>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D3DFEE"/>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blLayout w:type="fixed"/>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blLayout w:type="fixed"/>
      </w:tblPr>
      <w:tcPr>
        <w:tcBorders>
          <w:top w:val="nil"/>
          <w:left w:val="single" w:color="FFFFFF" w:sz="24" w:space="0"/>
          <w:bottom w:val="nil"/>
          <w:right w:val="nil"/>
          <w:insideH w:val="nil"/>
          <w:insideV w:val="nil"/>
        </w:tcBorders>
        <w:shd w:val="clear" w:color="auto" w:fill="4F81BD"/>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99">
    <w:name w:val="Medium Grid 3 Accent 2"/>
    <w:basedOn w:val="32"/>
    <w:uiPriority w:val="99"/>
    <w:rPr>
      <w:rFonts w:cs="Cambria"/>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EFD3D2"/>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blLayout w:type="fixed"/>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blLayout w:type="fixed"/>
      </w:tblPr>
      <w:tcPr>
        <w:tcBorders>
          <w:top w:val="nil"/>
          <w:left w:val="single" w:color="FFFFFF" w:sz="24" w:space="0"/>
          <w:bottom w:val="nil"/>
          <w:right w:val="nil"/>
          <w:insideH w:val="nil"/>
          <w:insideV w:val="nil"/>
        </w:tcBorders>
        <w:shd w:val="clear" w:color="auto" w:fill="C0504D"/>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00">
    <w:name w:val="Medium Grid 3 Accent 3"/>
    <w:basedOn w:val="32"/>
    <w:qFormat/>
    <w:uiPriority w:val="99"/>
    <w:rPr>
      <w:rFonts w:cs="Cambria"/>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E6EED5"/>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blLayout w:type="fixed"/>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blLayout w:type="fixed"/>
      </w:tblPr>
      <w:tcPr>
        <w:tcBorders>
          <w:top w:val="nil"/>
          <w:left w:val="single" w:color="FFFFFF" w:sz="24" w:space="0"/>
          <w:bottom w:val="nil"/>
          <w:right w:val="nil"/>
          <w:insideH w:val="nil"/>
          <w:insideV w:val="nil"/>
        </w:tcBorders>
        <w:shd w:val="clear" w:color="auto" w:fill="9BBB59"/>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01">
    <w:name w:val="Medium Grid 3 Accent 4"/>
    <w:basedOn w:val="32"/>
    <w:uiPriority w:val="99"/>
    <w:rPr>
      <w:rFonts w:cs="Cambria"/>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DFD8E8"/>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blLayout w:type="fixed"/>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blLayout w:type="fixed"/>
      </w:tblPr>
      <w:tcPr>
        <w:tcBorders>
          <w:top w:val="nil"/>
          <w:left w:val="single" w:color="FFFFFF" w:sz="24" w:space="0"/>
          <w:bottom w:val="nil"/>
          <w:right w:val="nil"/>
          <w:insideH w:val="nil"/>
          <w:insideV w:val="nil"/>
        </w:tcBorders>
        <w:shd w:val="clear" w:color="auto" w:fill="8064A2"/>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02">
    <w:name w:val="Medium Grid 3 Accent 5"/>
    <w:basedOn w:val="32"/>
    <w:uiPriority w:val="99"/>
    <w:rPr>
      <w:rFonts w:cs="Cambria"/>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D2EAF1"/>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blLayout w:type="fixed"/>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blLayout w:type="fixed"/>
      </w:tblPr>
      <w:tcPr>
        <w:tcBorders>
          <w:top w:val="nil"/>
          <w:left w:val="single" w:color="FFFFFF" w:sz="24" w:space="0"/>
          <w:bottom w:val="nil"/>
          <w:right w:val="nil"/>
          <w:insideH w:val="nil"/>
          <w:insideV w:val="nil"/>
        </w:tcBorders>
        <w:shd w:val="clear" w:color="auto" w:fill="4BACC6"/>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103">
    <w:name w:val="Medium Grid 3 Accent 6"/>
    <w:basedOn w:val="32"/>
    <w:uiPriority w:val="99"/>
    <w:rPr>
      <w:rFonts w:cs="Cambria"/>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FDE4D0"/>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blLayout w:type="fixed"/>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blLayout w:type="fixed"/>
      </w:tblPr>
      <w:tcPr>
        <w:tcBorders>
          <w:top w:val="nil"/>
          <w:left w:val="single" w:color="FFFFFF" w:sz="24" w:space="0"/>
          <w:bottom w:val="nil"/>
          <w:right w:val="nil"/>
          <w:insideH w:val="nil"/>
          <w:insideV w:val="nil"/>
        </w:tcBorders>
        <w:shd w:val="clear" w:color="auto" w:fill="F79646"/>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104">
    <w:name w:val="Dark List"/>
    <w:basedOn w:val="32"/>
    <w:uiPriority w:val="99"/>
    <w:rPr>
      <w:rFonts w:cs="Cambria"/>
      <w:color w:val="FFFFFF"/>
      <w:kern w:val="0"/>
      <w:sz w:val="20"/>
      <w:szCs w:val="20"/>
    </w:rPr>
    <w:tblPr>
      <w:tblLayout w:type="fixed"/>
      <w:tblCellMar>
        <w:top w:w="0" w:type="dxa"/>
        <w:left w:w="108" w:type="dxa"/>
        <w:bottom w:w="0" w:type="dxa"/>
        <w:right w:w="108" w:type="dxa"/>
      </w:tblCellMar>
    </w:tblPr>
    <w:tcPr>
      <w:shd w:val="clear" w:color="auto" w:fill="000000"/>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000000"/>
      </w:tcPr>
    </w:tblStylePr>
    <w:tblStylePr w:type="firstCol">
      <w:tblPr>
        <w:tblLayout w:type="fixed"/>
      </w:tblPr>
      <w:tcPr>
        <w:tcBorders>
          <w:top w:val="nil"/>
          <w:left w:val="nil"/>
          <w:bottom w:val="nil"/>
          <w:right w:val="single" w:color="FFFFFF" w:sz="18" w:space="0"/>
          <w:insideH w:val="nil"/>
          <w:insideV w:val="nil"/>
        </w:tcBorders>
        <w:shd w:val="clear" w:color="auto" w:fill="000000"/>
      </w:tcPr>
    </w:tblStylePr>
    <w:tblStylePr w:type="lastCol">
      <w:tblPr>
        <w:tblLayout w:type="fixed"/>
      </w:tblPr>
      <w:tcPr>
        <w:tcBorders>
          <w:top w:val="nil"/>
          <w:left w:val="single" w:color="FFFFFF" w:sz="18" w:space="0"/>
          <w:bottom w:val="nil"/>
          <w:right w:val="nil"/>
          <w:insideH w:val="nil"/>
          <w:insideV w:val="nil"/>
        </w:tcBorders>
        <w:shd w:val="clear" w:color="auto" w:fill="000000"/>
      </w:tcPr>
    </w:tblStylePr>
    <w:tblStylePr w:type="band1Vert">
      <w:tblPr>
        <w:tblLayout w:type="fixed"/>
      </w:tblPr>
      <w:tcPr>
        <w:tcBorders>
          <w:top w:val="nil"/>
          <w:left w:val="nil"/>
          <w:bottom w:val="nil"/>
          <w:right w:val="nil"/>
          <w:insideH w:val="nil"/>
          <w:insideV w:val="nil"/>
        </w:tcBorders>
        <w:shd w:val="clear" w:color="auto" w:fill="000000"/>
      </w:tcPr>
    </w:tblStylePr>
    <w:tblStylePr w:type="band1Horz">
      <w:tblPr>
        <w:tblLayout w:type="fixed"/>
      </w:tblPr>
      <w:tcPr>
        <w:tcBorders>
          <w:top w:val="nil"/>
          <w:left w:val="nil"/>
          <w:bottom w:val="nil"/>
          <w:right w:val="nil"/>
          <w:insideH w:val="nil"/>
          <w:insideV w:val="nil"/>
        </w:tcBorders>
        <w:shd w:val="clear" w:color="auto" w:fill="000000"/>
      </w:tcPr>
    </w:tblStylePr>
  </w:style>
  <w:style w:type="table" w:styleId="105">
    <w:name w:val="Dark List Accent 1"/>
    <w:basedOn w:val="32"/>
    <w:qFormat/>
    <w:uiPriority w:val="99"/>
    <w:rPr>
      <w:rFonts w:cs="Cambria"/>
      <w:color w:val="FFFFFF"/>
      <w:kern w:val="0"/>
      <w:sz w:val="20"/>
      <w:szCs w:val="20"/>
    </w:rPr>
    <w:tblPr>
      <w:tblLayout w:type="fixed"/>
      <w:tblCellMar>
        <w:top w:w="0" w:type="dxa"/>
        <w:left w:w="108" w:type="dxa"/>
        <w:bottom w:w="0" w:type="dxa"/>
        <w:right w:w="108" w:type="dxa"/>
      </w:tblCellMar>
    </w:tblPr>
    <w:tcPr>
      <w:shd w:val="clear" w:color="auto" w:fill="4F81BD"/>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243F60"/>
      </w:tcPr>
    </w:tblStylePr>
    <w:tblStylePr w:type="firstCol">
      <w:tblPr>
        <w:tblLayout w:type="fixed"/>
      </w:tblPr>
      <w:tcPr>
        <w:tcBorders>
          <w:top w:val="nil"/>
          <w:left w:val="nil"/>
          <w:bottom w:val="nil"/>
          <w:right w:val="single" w:color="FFFFFF" w:sz="18" w:space="0"/>
          <w:insideH w:val="nil"/>
          <w:insideV w:val="nil"/>
        </w:tcBorders>
        <w:shd w:val="clear" w:color="auto" w:fill="365F91"/>
      </w:tcPr>
    </w:tblStylePr>
    <w:tblStylePr w:type="lastCol">
      <w:tblPr>
        <w:tblLayout w:type="fixed"/>
      </w:tblPr>
      <w:tcPr>
        <w:tcBorders>
          <w:top w:val="nil"/>
          <w:left w:val="single" w:color="FFFFFF" w:sz="18" w:space="0"/>
          <w:bottom w:val="nil"/>
          <w:right w:val="nil"/>
          <w:insideH w:val="nil"/>
          <w:insideV w:val="nil"/>
        </w:tcBorders>
        <w:shd w:val="clear" w:color="auto" w:fill="365F91"/>
      </w:tcPr>
    </w:tblStylePr>
    <w:tblStylePr w:type="band1Vert">
      <w:tblPr>
        <w:tblLayout w:type="fixed"/>
      </w:tblPr>
      <w:tcPr>
        <w:tcBorders>
          <w:top w:val="nil"/>
          <w:left w:val="nil"/>
          <w:bottom w:val="nil"/>
          <w:right w:val="nil"/>
          <w:insideH w:val="nil"/>
          <w:insideV w:val="nil"/>
        </w:tcBorders>
        <w:shd w:val="clear" w:color="auto" w:fill="365F91"/>
      </w:tcPr>
    </w:tblStylePr>
    <w:tblStylePr w:type="band1Horz">
      <w:tblPr>
        <w:tblLayout w:type="fixed"/>
      </w:tblPr>
      <w:tcPr>
        <w:tcBorders>
          <w:top w:val="nil"/>
          <w:left w:val="nil"/>
          <w:bottom w:val="nil"/>
          <w:right w:val="nil"/>
          <w:insideH w:val="nil"/>
          <w:insideV w:val="nil"/>
        </w:tcBorders>
        <w:shd w:val="clear" w:color="auto" w:fill="365F91"/>
      </w:tcPr>
    </w:tblStylePr>
  </w:style>
  <w:style w:type="table" w:styleId="106">
    <w:name w:val="Dark List Accent 2"/>
    <w:basedOn w:val="32"/>
    <w:qFormat/>
    <w:uiPriority w:val="99"/>
    <w:rPr>
      <w:rFonts w:cs="Cambria"/>
      <w:color w:val="FFFFFF"/>
      <w:kern w:val="0"/>
      <w:sz w:val="20"/>
      <w:szCs w:val="20"/>
    </w:rPr>
    <w:tblPr>
      <w:tblLayout w:type="fixed"/>
      <w:tblCellMar>
        <w:top w:w="0" w:type="dxa"/>
        <w:left w:w="108" w:type="dxa"/>
        <w:bottom w:w="0" w:type="dxa"/>
        <w:right w:w="108" w:type="dxa"/>
      </w:tblCellMar>
    </w:tblPr>
    <w:tcPr>
      <w:shd w:val="clear" w:color="auto" w:fill="C0504D"/>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622423"/>
      </w:tcPr>
    </w:tblStylePr>
    <w:tblStylePr w:type="firstCol">
      <w:tblPr>
        <w:tblLayout w:type="fixed"/>
      </w:tblPr>
      <w:tcPr>
        <w:tcBorders>
          <w:top w:val="nil"/>
          <w:left w:val="nil"/>
          <w:bottom w:val="nil"/>
          <w:right w:val="single" w:color="FFFFFF" w:sz="18" w:space="0"/>
          <w:insideH w:val="nil"/>
          <w:insideV w:val="nil"/>
        </w:tcBorders>
        <w:shd w:val="clear" w:color="auto" w:fill="943634"/>
      </w:tcPr>
    </w:tblStylePr>
    <w:tblStylePr w:type="lastCol">
      <w:tblPr>
        <w:tblLayout w:type="fixed"/>
      </w:tblPr>
      <w:tcPr>
        <w:tcBorders>
          <w:top w:val="nil"/>
          <w:left w:val="single" w:color="FFFFFF" w:sz="18" w:space="0"/>
          <w:bottom w:val="nil"/>
          <w:right w:val="nil"/>
          <w:insideH w:val="nil"/>
          <w:insideV w:val="nil"/>
        </w:tcBorders>
        <w:shd w:val="clear" w:color="auto" w:fill="943634"/>
      </w:tcPr>
    </w:tblStylePr>
    <w:tblStylePr w:type="band1Vert">
      <w:tblPr>
        <w:tblLayout w:type="fixed"/>
      </w:tblPr>
      <w:tcPr>
        <w:tcBorders>
          <w:top w:val="nil"/>
          <w:left w:val="nil"/>
          <w:bottom w:val="nil"/>
          <w:right w:val="nil"/>
          <w:insideH w:val="nil"/>
          <w:insideV w:val="nil"/>
        </w:tcBorders>
        <w:shd w:val="clear" w:color="auto" w:fill="943634"/>
      </w:tcPr>
    </w:tblStylePr>
    <w:tblStylePr w:type="band1Horz">
      <w:tblPr>
        <w:tblLayout w:type="fixed"/>
      </w:tblPr>
      <w:tcPr>
        <w:tcBorders>
          <w:top w:val="nil"/>
          <w:left w:val="nil"/>
          <w:bottom w:val="nil"/>
          <w:right w:val="nil"/>
          <w:insideH w:val="nil"/>
          <w:insideV w:val="nil"/>
        </w:tcBorders>
        <w:shd w:val="clear" w:color="auto" w:fill="943634"/>
      </w:tcPr>
    </w:tblStylePr>
  </w:style>
  <w:style w:type="table" w:styleId="107">
    <w:name w:val="Dark List Accent 3"/>
    <w:basedOn w:val="32"/>
    <w:qFormat/>
    <w:uiPriority w:val="99"/>
    <w:rPr>
      <w:rFonts w:cs="Cambria"/>
      <w:color w:val="FFFFFF"/>
      <w:kern w:val="0"/>
      <w:sz w:val="20"/>
      <w:szCs w:val="20"/>
    </w:rPr>
    <w:tblPr>
      <w:tblLayout w:type="fixed"/>
      <w:tblCellMar>
        <w:top w:w="0" w:type="dxa"/>
        <w:left w:w="108" w:type="dxa"/>
        <w:bottom w:w="0" w:type="dxa"/>
        <w:right w:w="108" w:type="dxa"/>
      </w:tblCellMar>
    </w:tblPr>
    <w:tcPr>
      <w:shd w:val="clear" w:color="auto" w:fill="9BBB59"/>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4E6128"/>
      </w:tcPr>
    </w:tblStylePr>
    <w:tblStylePr w:type="firstCol">
      <w:tblPr>
        <w:tblLayout w:type="fixed"/>
      </w:tblPr>
      <w:tcPr>
        <w:tcBorders>
          <w:top w:val="nil"/>
          <w:left w:val="nil"/>
          <w:bottom w:val="nil"/>
          <w:right w:val="single" w:color="FFFFFF" w:sz="18" w:space="0"/>
          <w:insideH w:val="nil"/>
          <w:insideV w:val="nil"/>
        </w:tcBorders>
        <w:shd w:val="clear" w:color="auto" w:fill="76923C"/>
      </w:tcPr>
    </w:tblStylePr>
    <w:tblStylePr w:type="lastCol">
      <w:tblPr>
        <w:tblLayout w:type="fixed"/>
      </w:tblPr>
      <w:tcPr>
        <w:tcBorders>
          <w:top w:val="nil"/>
          <w:left w:val="single" w:color="FFFFFF" w:sz="18" w:space="0"/>
          <w:bottom w:val="nil"/>
          <w:right w:val="nil"/>
          <w:insideH w:val="nil"/>
          <w:insideV w:val="nil"/>
        </w:tcBorders>
        <w:shd w:val="clear" w:color="auto" w:fill="76923C"/>
      </w:tcPr>
    </w:tblStylePr>
    <w:tblStylePr w:type="band1Vert">
      <w:tblPr>
        <w:tblLayout w:type="fixed"/>
      </w:tblPr>
      <w:tcPr>
        <w:tcBorders>
          <w:top w:val="nil"/>
          <w:left w:val="nil"/>
          <w:bottom w:val="nil"/>
          <w:right w:val="nil"/>
          <w:insideH w:val="nil"/>
          <w:insideV w:val="nil"/>
        </w:tcBorders>
        <w:shd w:val="clear" w:color="auto" w:fill="76923C"/>
      </w:tcPr>
    </w:tblStylePr>
    <w:tblStylePr w:type="band1Horz">
      <w:tblPr>
        <w:tblLayout w:type="fixed"/>
      </w:tblPr>
      <w:tcPr>
        <w:tcBorders>
          <w:top w:val="nil"/>
          <w:left w:val="nil"/>
          <w:bottom w:val="nil"/>
          <w:right w:val="nil"/>
          <w:insideH w:val="nil"/>
          <w:insideV w:val="nil"/>
        </w:tcBorders>
        <w:shd w:val="clear" w:color="auto" w:fill="76923C"/>
      </w:tcPr>
    </w:tblStylePr>
  </w:style>
  <w:style w:type="table" w:styleId="108">
    <w:name w:val="Dark List Accent 4"/>
    <w:basedOn w:val="32"/>
    <w:uiPriority w:val="99"/>
    <w:rPr>
      <w:rFonts w:cs="Cambria"/>
      <w:color w:val="FFFFFF"/>
      <w:kern w:val="0"/>
      <w:sz w:val="20"/>
      <w:szCs w:val="20"/>
    </w:rPr>
    <w:tblPr>
      <w:tblLayout w:type="fixed"/>
      <w:tblCellMar>
        <w:top w:w="0" w:type="dxa"/>
        <w:left w:w="108" w:type="dxa"/>
        <w:bottom w:w="0" w:type="dxa"/>
        <w:right w:w="108" w:type="dxa"/>
      </w:tblCellMar>
    </w:tblPr>
    <w:tcPr>
      <w:shd w:val="clear" w:color="auto" w:fill="8064A2"/>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3F3151"/>
      </w:tcPr>
    </w:tblStylePr>
    <w:tblStylePr w:type="firstCol">
      <w:tblPr>
        <w:tblLayout w:type="fixed"/>
      </w:tblPr>
      <w:tcPr>
        <w:tcBorders>
          <w:top w:val="nil"/>
          <w:left w:val="nil"/>
          <w:bottom w:val="nil"/>
          <w:right w:val="single" w:color="FFFFFF" w:sz="18" w:space="0"/>
          <w:insideH w:val="nil"/>
          <w:insideV w:val="nil"/>
        </w:tcBorders>
        <w:shd w:val="clear" w:color="auto" w:fill="5F497A"/>
      </w:tcPr>
    </w:tblStylePr>
    <w:tblStylePr w:type="lastCol">
      <w:tblPr>
        <w:tblLayout w:type="fixed"/>
      </w:tblPr>
      <w:tcPr>
        <w:tcBorders>
          <w:top w:val="nil"/>
          <w:left w:val="single" w:color="FFFFFF" w:sz="18" w:space="0"/>
          <w:bottom w:val="nil"/>
          <w:right w:val="nil"/>
          <w:insideH w:val="nil"/>
          <w:insideV w:val="nil"/>
        </w:tcBorders>
        <w:shd w:val="clear" w:color="auto" w:fill="5F497A"/>
      </w:tcPr>
    </w:tblStylePr>
    <w:tblStylePr w:type="band1Vert">
      <w:tblPr>
        <w:tblLayout w:type="fixed"/>
      </w:tblPr>
      <w:tcPr>
        <w:tcBorders>
          <w:top w:val="nil"/>
          <w:left w:val="nil"/>
          <w:bottom w:val="nil"/>
          <w:right w:val="nil"/>
          <w:insideH w:val="nil"/>
          <w:insideV w:val="nil"/>
        </w:tcBorders>
        <w:shd w:val="clear" w:color="auto" w:fill="5F497A"/>
      </w:tcPr>
    </w:tblStylePr>
    <w:tblStylePr w:type="band1Horz">
      <w:tblPr>
        <w:tblLayout w:type="fixed"/>
      </w:tblPr>
      <w:tcPr>
        <w:tcBorders>
          <w:top w:val="nil"/>
          <w:left w:val="nil"/>
          <w:bottom w:val="nil"/>
          <w:right w:val="nil"/>
          <w:insideH w:val="nil"/>
          <w:insideV w:val="nil"/>
        </w:tcBorders>
        <w:shd w:val="clear" w:color="auto" w:fill="5F497A"/>
      </w:tcPr>
    </w:tblStylePr>
  </w:style>
  <w:style w:type="table" w:styleId="109">
    <w:name w:val="Dark List Accent 5"/>
    <w:basedOn w:val="32"/>
    <w:qFormat/>
    <w:uiPriority w:val="99"/>
    <w:rPr>
      <w:rFonts w:cs="Cambria"/>
      <w:color w:val="FFFFFF"/>
      <w:kern w:val="0"/>
      <w:sz w:val="20"/>
      <w:szCs w:val="20"/>
    </w:rPr>
    <w:tblPr>
      <w:tblLayout w:type="fixed"/>
      <w:tblCellMar>
        <w:top w:w="0" w:type="dxa"/>
        <w:left w:w="108" w:type="dxa"/>
        <w:bottom w:w="0" w:type="dxa"/>
        <w:right w:w="108" w:type="dxa"/>
      </w:tblCellMar>
    </w:tblPr>
    <w:tcPr>
      <w:shd w:val="clear" w:color="auto" w:fill="4BACC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205867"/>
      </w:tcPr>
    </w:tblStylePr>
    <w:tblStylePr w:type="firstCol">
      <w:tblPr>
        <w:tblLayout w:type="fixed"/>
      </w:tblPr>
      <w:tcPr>
        <w:tcBorders>
          <w:top w:val="nil"/>
          <w:left w:val="nil"/>
          <w:bottom w:val="nil"/>
          <w:right w:val="single" w:color="FFFFFF" w:sz="18" w:space="0"/>
          <w:insideH w:val="nil"/>
          <w:insideV w:val="nil"/>
        </w:tcBorders>
        <w:shd w:val="clear" w:color="auto" w:fill="31849B"/>
      </w:tcPr>
    </w:tblStylePr>
    <w:tblStylePr w:type="lastCol">
      <w:tblPr>
        <w:tblLayout w:type="fixed"/>
      </w:tblPr>
      <w:tcPr>
        <w:tcBorders>
          <w:top w:val="nil"/>
          <w:left w:val="single" w:color="FFFFFF" w:sz="18" w:space="0"/>
          <w:bottom w:val="nil"/>
          <w:right w:val="nil"/>
          <w:insideH w:val="nil"/>
          <w:insideV w:val="nil"/>
        </w:tcBorders>
        <w:shd w:val="clear" w:color="auto" w:fill="31849B"/>
      </w:tcPr>
    </w:tblStylePr>
    <w:tblStylePr w:type="band1Vert">
      <w:tblPr>
        <w:tblLayout w:type="fixed"/>
      </w:tblPr>
      <w:tcPr>
        <w:tcBorders>
          <w:top w:val="nil"/>
          <w:left w:val="nil"/>
          <w:bottom w:val="nil"/>
          <w:right w:val="nil"/>
          <w:insideH w:val="nil"/>
          <w:insideV w:val="nil"/>
        </w:tcBorders>
        <w:shd w:val="clear" w:color="auto" w:fill="31849B"/>
      </w:tcPr>
    </w:tblStylePr>
    <w:tblStylePr w:type="band1Horz">
      <w:tblPr>
        <w:tblLayout w:type="fixed"/>
      </w:tblPr>
      <w:tcPr>
        <w:tcBorders>
          <w:top w:val="nil"/>
          <w:left w:val="nil"/>
          <w:bottom w:val="nil"/>
          <w:right w:val="nil"/>
          <w:insideH w:val="nil"/>
          <w:insideV w:val="nil"/>
        </w:tcBorders>
        <w:shd w:val="clear" w:color="auto" w:fill="31849B"/>
      </w:tcPr>
    </w:tblStylePr>
  </w:style>
  <w:style w:type="table" w:styleId="110">
    <w:name w:val="Dark List Accent 6"/>
    <w:basedOn w:val="32"/>
    <w:qFormat/>
    <w:uiPriority w:val="99"/>
    <w:rPr>
      <w:rFonts w:cs="Cambria"/>
      <w:color w:val="FFFFFF"/>
      <w:kern w:val="0"/>
      <w:sz w:val="20"/>
      <w:szCs w:val="20"/>
    </w:rPr>
    <w:tblPr>
      <w:tblLayout w:type="fixed"/>
      <w:tblCellMar>
        <w:top w:w="0" w:type="dxa"/>
        <w:left w:w="108" w:type="dxa"/>
        <w:bottom w:w="0" w:type="dxa"/>
        <w:right w:w="108" w:type="dxa"/>
      </w:tblCellMar>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table" w:styleId="111">
    <w:name w:val="Colorful Shading"/>
    <w:basedOn w:val="32"/>
    <w:qFormat/>
    <w:uiPriority w:val="99"/>
    <w:rPr>
      <w:rFonts w:cs="Cambria"/>
      <w:color w:val="000000"/>
      <w:kern w:val="0"/>
      <w:sz w:val="20"/>
      <w:szCs w:val="2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Layout w:type="fixed"/>
      <w:tblCellMar>
        <w:top w:w="0" w:type="dxa"/>
        <w:left w:w="108" w:type="dxa"/>
        <w:bottom w:w="0" w:type="dxa"/>
        <w:right w:w="108" w:type="dxa"/>
      </w:tblCellMar>
    </w:tblPr>
    <w:tcPr>
      <w:shd w:val="clear" w:color="auto" w:fill="E6E6E6"/>
    </w:tcPr>
    <w:tblStylePr w:type="firstRow">
      <w:rPr>
        <w:b/>
        <w:bCs/>
      </w:rPr>
      <w:tblPr>
        <w:tblLayout w:type="fixed"/>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000000"/>
      </w:tcPr>
    </w:tblStylePr>
    <w:tblStylePr w:type="firstCol">
      <w:rPr>
        <w:color w:val="FFFFFF"/>
      </w:rPr>
      <w:tblPr>
        <w:tblLayout w:type="fixed"/>
      </w:tblPr>
      <w:tcPr>
        <w:tcBorders>
          <w:top w:val="nil"/>
          <w:left w:val="nil"/>
          <w:bottom w:val="nil"/>
          <w:right w:val="nil"/>
          <w:insideH w:val="single" w:sz="4" w:space="0"/>
          <w:insideV w:val="nil"/>
        </w:tcBorders>
        <w:shd w:val="clear" w:color="auto" w:fill="000000"/>
      </w:tcPr>
    </w:tblStylePr>
    <w:tblStylePr w:type="lastCol">
      <w:rPr>
        <w:color w:val="FFFFFF"/>
      </w:rPr>
      <w:tblPr>
        <w:tblLayout w:type="fixed"/>
      </w:tblPr>
      <w:tcPr>
        <w:tcBorders>
          <w:top w:val="nil"/>
          <w:left w:val="nil"/>
          <w:bottom w:val="nil"/>
          <w:right w:val="nil"/>
          <w:insideH w:val="nil"/>
          <w:insideV w:val="nil"/>
        </w:tcBorders>
        <w:shd w:val="clear" w:color="auto" w:fill="000000"/>
      </w:tcPr>
    </w:tblStylePr>
    <w:tblStylePr w:type="band1Vert">
      <w:tblPr>
        <w:tblLayout w:type="fixed"/>
      </w:tblPr>
      <w:tcPr>
        <w:shd w:val="clear" w:color="auto" w:fill="999999"/>
      </w:tcPr>
    </w:tblStylePr>
    <w:tblStylePr w:type="band1Horz">
      <w:tblPr>
        <w:tblLayout w:type="fixed"/>
      </w:tblPr>
      <w:tcPr>
        <w:shd w:val="clear" w:color="auto" w:fill="808080"/>
      </w:tcPr>
    </w:tblStylePr>
    <w:tblStylePr w:type="neCell">
      <w:rPr>
        <w:color w:val="000000"/>
      </w:rPr>
    </w:tblStylePr>
    <w:tblStylePr w:type="nwCell">
      <w:rPr>
        <w:color w:val="000000"/>
      </w:rPr>
    </w:tblStylePr>
  </w:style>
  <w:style w:type="table" w:styleId="112">
    <w:name w:val="Colorful Shading Accent 1"/>
    <w:basedOn w:val="32"/>
    <w:qFormat/>
    <w:uiPriority w:val="99"/>
    <w:rPr>
      <w:rFonts w:cs="Cambria"/>
      <w:color w:val="000000"/>
      <w:kern w:val="0"/>
      <w:sz w:val="20"/>
      <w:szCs w:val="2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Layout w:type="fixed"/>
      <w:tblCellMar>
        <w:top w:w="0" w:type="dxa"/>
        <w:left w:w="108" w:type="dxa"/>
        <w:bottom w:w="0" w:type="dxa"/>
        <w:right w:w="108" w:type="dxa"/>
      </w:tblCellMar>
    </w:tblPr>
    <w:tcPr>
      <w:shd w:val="clear" w:color="auto" w:fill="EDF2F8"/>
    </w:tcPr>
    <w:tblStylePr w:type="firstRow">
      <w:rPr>
        <w:b/>
        <w:bCs/>
      </w:rPr>
      <w:tblPr>
        <w:tblLayout w:type="fixed"/>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2C4C74"/>
      </w:tcPr>
    </w:tblStylePr>
    <w:tblStylePr w:type="firstCol">
      <w:rPr>
        <w:color w:val="FFFFFF"/>
      </w:rPr>
      <w:tblPr>
        <w:tblLayout w:type="fixed"/>
      </w:tblPr>
      <w:tcPr>
        <w:tcBorders>
          <w:top w:val="nil"/>
          <w:left w:val="nil"/>
          <w:bottom w:val="nil"/>
          <w:right w:val="nil"/>
          <w:insideH w:val="single" w:sz="4" w:space="0"/>
          <w:insideV w:val="nil"/>
        </w:tcBorders>
        <w:shd w:val="clear" w:color="auto" w:fill="2C4C74"/>
      </w:tcPr>
    </w:tblStylePr>
    <w:tblStylePr w:type="lastCol">
      <w:rPr>
        <w:color w:val="FFFFFF"/>
      </w:rPr>
      <w:tblPr>
        <w:tblLayout w:type="fixed"/>
      </w:tblPr>
      <w:tcPr>
        <w:tcBorders>
          <w:top w:val="nil"/>
          <w:left w:val="nil"/>
          <w:bottom w:val="nil"/>
          <w:right w:val="nil"/>
          <w:insideH w:val="nil"/>
          <w:insideV w:val="nil"/>
        </w:tcBorders>
        <w:shd w:val="clear" w:color="auto" w:fill="2C4C74"/>
      </w:tcPr>
    </w:tblStylePr>
    <w:tblStylePr w:type="band1Vert">
      <w:tblPr>
        <w:tblLayout w:type="fixed"/>
      </w:tblPr>
      <w:tcPr>
        <w:shd w:val="clear" w:color="auto" w:fill="B8CCE4"/>
      </w:tcPr>
    </w:tblStylePr>
    <w:tblStylePr w:type="band1Horz">
      <w:tblPr>
        <w:tblLayout w:type="fixed"/>
      </w:tblPr>
      <w:tcPr>
        <w:shd w:val="clear" w:color="auto" w:fill="A7BFDE"/>
      </w:tcPr>
    </w:tblStylePr>
    <w:tblStylePr w:type="neCell">
      <w:rPr>
        <w:color w:val="000000"/>
      </w:rPr>
    </w:tblStylePr>
    <w:tblStylePr w:type="nwCell">
      <w:rPr>
        <w:color w:val="000000"/>
      </w:rPr>
    </w:tblStylePr>
  </w:style>
  <w:style w:type="table" w:styleId="113">
    <w:name w:val="Colorful Shading Accent 2"/>
    <w:basedOn w:val="32"/>
    <w:qFormat/>
    <w:uiPriority w:val="99"/>
    <w:rPr>
      <w:rFonts w:cs="Cambria"/>
      <w:color w:val="000000"/>
      <w:kern w:val="0"/>
      <w:sz w:val="20"/>
      <w:szCs w:val="2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Layout w:type="fixed"/>
      <w:tblCellMar>
        <w:top w:w="0" w:type="dxa"/>
        <w:left w:w="108" w:type="dxa"/>
        <w:bottom w:w="0" w:type="dxa"/>
        <w:right w:w="108" w:type="dxa"/>
      </w:tblCellMar>
    </w:tblPr>
    <w:tcPr>
      <w:shd w:val="clear" w:color="auto" w:fill="F8EDED"/>
    </w:tcPr>
    <w:tblStylePr w:type="firstRow">
      <w:rPr>
        <w:b/>
        <w:bCs/>
      </w:rPr>
      <w:tblPr>
        <w:tblLayout w:type="fixed"/>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772C2A"/>
      </w:tcPr>
    </w:tblStylePr>
    <w:tblStylePr w:type="firstCol">
      <w:rPr>
        <w:color w:val="FFFFFF"/>
      </w:rPr>
      <w:tblPr>
        <w:tblLayout w:type="fixed"/>
      </w:tblPr>
      <w:tcPr>
        <w:tcBorders>
          <w:top w:val="nil"/>
          <w:left w:val="nil"/>
          <w:bottom w:val="nil"/>
          <w:right w:val="nil"/>
          <w:insideH w:val="single" w:sz="4" w:space="0"/>
          <w:insideV w:val="nil"/>
        </w:tcBorders>
        <w:shd w:val="clear" w:color="auto" w:fill="772C2A"/>
      </w:tcPr>
    </w:tblStylePr>
    <w:tblStylePr w:type="lastCol">
      <w:rPr>
        <w:color w:val="FFFFFF"/>
      </w:rPr>
      <w:tblPr>
        <w:tblLayout w:type="fixed"/>
      </w:tblPr>
      <w:tcPr>
        <w:tcBorders>
          <w:top w:val="nil"/>
          <w:left w:val="nil"/>
          <w:bottom w:val="nil"/>
          <w:right w:val="nil"/>
          <w:insideH w:val="nil"/>
          <w:insideV w:val="nil"/>
        </w:tcBorders>
        <w:shd w:val="clear" w:color="auto" w:fill="772C2A"/>
      </w:tcPr>
    </w:tblStylePr>
    <w:tblStylePr w:type="band1Vert">
      <w:tblPr>
        <w:tblLayout w:type="fixed"/>
      </w:tblPr>
      <w:tcPr>
        <w:shd w:val="clear" w:color="auto" w:fill="E5B8B7"/>
      </w:tcPr>
    </w:tblStylePr>
    <w:tblStylePr w:type="band1Horz">
      <w:tblPr>
        <w:tblLayout w:type="fixed"/>
      </w:tblPr>
      <w:tcPr>
        <w:shd w:val="clear" w:color="auto" w:fill="DFA7A6"/>
      </w:tcPr>
    </w:tblStylePr>
    <w:tblStylePr w:type="neCell">
      <w:rPr>
        <w:color w:val="000000"/>
      </w:rPr>
    </w:tblStylePr>
    <w:tblStylePr w:type="nwCell">
      <w:rPr>
        <w:color w:val="000000"/>
      </w:rPr>
    </w:tblStylePr>
  </w:style>
  <w:style w:type="table" w:styleId="114">
    <w:name w:val="Colorful Shading Accent 3"/>
    <w:basedOn w:val="32"/>
    <w:uiPriority w:val="99"/>
    <w:rPr>
      <w:rFonts w:cs="Cambria"/>
      <w:color w:val="000000"/>
      <w:kern w:val="0"/>
      <w:sz w:val="20"/>
      <w:szCs w:val="2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Layout w:type="fixed"/>
      <w:tblCellMar>
        <w:top w:w="0" w:type="dxa"/>
        <w:left w:w="108" w:type="dxa"/>
        <w:bottom w:w="0" w:type="dxa"/>
        <w:right w:w="108" w:type="dxa"/>
      </w:tblCellMar>
    </w:tblPr>
    <w:tcPr>
      <w:shd w:val="clear" w:color="auto" w:fill="F5F8EE"/>
    </w:tcPr>
    <w:tblStylePr w:type="firstRow">
      <w:rPr>
        <w:b/>
        <w:bCs/>
      </w:rPr>
      <w:tblPr>
        <w:tblLayout w:type="fixed"/>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5E7530"/>
      </w:tcPr>
    </w:tblStylePr>
    <w:tblStylePr w:type="firstCol">
      <w:rPr>
        <w:color w:val="FFFFFF"/>
      </w:rPr>
      <w:tblPr>
        <w:tblLayout w:type="fixed"/>
      </w:tblPr>
      <w:tcPr>
        <w:tcBorders>
          <w:top w:val="nil"/>
          <w:left w:val="nil"/>
          <w:bottom w:val="nil"/>
          <w:right w:val="nil"/>
          <w:insideH w:val="single" w:sz="4" w:space="0"/>
          <w:insideV w:val="nil"/>
        </w:tcBorders>
        <w:shd w:val="clear" w:color="auto" w:fill="5E7530"/>
      </w:tcPr>
    </w:tblStylePr>
    <w:tblStylePr w:type="lastCol">
      <w:rPr>
        <w:color w:val="FFFFFF"/>
      </w:rPr>
      <w:tblPr>
        <w:tblLayout w:type="fixed"/>
      </w:tblPr>
      <w:tcPr>
        <w:tcBorders>
          <w:top w:val="nil"/>
          <w:left w:val="nil"/>
          <w:bottom w:val="nil"/>
          <w:right w:val="nil"/>
          <w:insideH w:val="nil"/>
          <w:insideV w:val="nil"/>
        </w:tcBorders>
        <w:shd w:val="clear" w:color="auto" w:fill="5E7530"/>
      </w:tcPr>
    </w:tblStylePr>
    <w:tblStylePr w:type="band1Vert">
      <w:tblPr>
        <w:tblLayout w:type="fixed"/>
      </w:tblPr>
      <w:tcPr>
        <w:shd w:val="clear" w:color="auto" w:fill="D6E3BC"/>
      </w:tcPr>
    </w:tblStylePr>
    <w:tblStylePr w:type="band1Horz">
      <w:tblPr>
        <w:tblLayout w:type="fixed"/>
      </w:tblPr>
      <w:tcPr>
        <w:shd w:val="clear" w:color="auto" w:fill="CDDDAC"/>
      </w:tcPr>
    </w:tblStylePr>
  </w:style>
  <w:style w:type="table" w:styleId="115">
    <w:name w:val="Colorful Shading Accent 4"/>
    <w:basedOn w:val="32"/>
    <w:qFormat/>
    <w:uiPriority w:val="99"/>
    <w:rPr>
      <w:rFonts w:cs="Cambria"/>
      <w:color w:val="000000"/>
      <w:kern w:val="0"/>
      <w:sz w:val="20"/>
      <w:szCs w:val="2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Layout w:type="fixed"/>
      <w:tblCellMar>
        <w:top w:w="0" w:type="dxa"/>
        <w:left w:w="108" w:type="dxa"/>
        <w:bottom w:w="0" w:type="dxa"/>
        <w:right w:w="108" w:type="dxa"/>
      </w:tblCellMar>
    </w:tblPr>
    <w:tcPr>
      <w:shd w:val="clear" w:color="auto" w:fill="F2EFF6"/>
    </w:tcPr>
    <w:tblStylePr w:type="firstRow">
      <w:rPr>
        <w:b/>
        <w:bCs/>
      </w:rPr>
      <w:tblPr>
        <w:tblLayout w:type="fixed"/>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4C3B62"/>
      </w:tcPr>
    </w:tblStylePr>
    <w:tblStylePr w:type="firstCol">
      <w:rPr>
        <w:color w:val="FFFFFF"/>
      </w:rPr>
      <w:tblPr>
        <w:tblLayout w:type="fixed"/>
      </w:tblPr>
      <w:tcPr>
        <w:tcBorders>
          <w:top w:val="nil"/>
          <w:left w:val="nil"/>
          <w:bottom w:val="nil"/>
          <w:right w:val="nil"/>
          <w:insideH w:val="single" w:sz="4" w:space="0"/>
          <w:insideV w:val="nil"/>
        </w:tcBorders>
        <w:shd w:val="clear" w:color="auto" w:fill="4C3B62"/>
      </w:tcPr>
    </w:tblStylePr>
    <w:tblStylePr w:type="lastCol">
      <w:rPr>
        <w:color w:val="FFFFFF"/>
      </w:rPr>
      <w:tblPr>
        <w:tblLayout w:type="fixed"/>
      </w:tblPr>
      <w:tcPr>
        <w:tcBorders>
          <w:top w:val="nil"/>
          <w:left w:val="nil"/>
          <w:bottom w:val="nil"/>
          <w:right w:val="nil"/>
          <w:insideH w:val="nil"/>
          <w:insideV w:val="nil"/>
        </w:tcBorders>
        <w:shd w:val="clear" w:color="auto" w:fill="4C3B62"/>
      </w:tcPr>
    </w:tblStylePr>
    <w:tblStylePr w:type="band1Vert">
      <w:tblPr>
        <w:tblLayout w:type="fixed"/>
      </w:tblPr>
      <w:tcPr>
        <w:shd w:val="clear" w:color="auto" w:fill="CCC0D9"/>
      </w:tcPr>
    </w:tblStylePr>
    <w:tblStylePr w:type="band1Horz">
      <w:tblPr>
        <w:tblLayout w:type="fixed"/>
      </w:tblPr>
      <w:tcPr>
        <w:shd w:val="clear" w:color="auto" w:fill="BFB1D0"/>
      </w:tcPr>
    </w:tblStylePr>
    <w:tblStylePr w:type="neCell">
      <w:rPr>
        <w:color w:val="000000"/>
      </w:rPr>
    </w:tblStylePr>
    <w:tblStylePr w:type="nwCell">
      <w:rPr>
        <w:color w:val="000000"/>
      </w:rPr>
    </w:tblStylePr>
  </w:style>
  <w:style w:type="table" w:styleId="116">
    <w:name w:val="Colorful Shading Accent 5"/>
    <w:basedOn w:val="32"/>
    <w:qFormat/>
    <w:uiPriority w:val="99"/>
    <w:rPr>
      <w:rFonts w:cs="Cambria"/>
      <w:color w:val="000000"/>
      <w:kern w:val="0"/>
      <w:sz w:val="20"/>
      <w:szCs w:val="2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Layout w:type="fixed"/>
      <w:tblCellMar>
        <w:top w:w="0" w:type="dxa"/>
        <w:left w:w="108" w:type="dxa"/>
        <w:bottom w:w="0" w:type="dxa"/>
        <w:right w:w="108" w:type="dxa"/>
      </w:tblCellMar>
    </w:tblPr>
    <w:tcPr>
      <w:shd w:val="clear" w:color="auto" w:fill="EDF6F9"/>
    </w:tcPr>
    <w:tblStylePr w:type="firstRow">
      <w:rPr>
        <w:b/>
        <w:bCs/>
      </w:rPr>
      <w:tblPr>
        <w:tblLayout w:type="fixed"/>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276A7C"/>
      </w:tcPr>
    </w:tblStylePr>
    <w:tblStylePr w:type="firstCol">
      <w:rPr>
        <w:color w:val="FFFFFF"/>
      </w:rPr>
      <w:tblPr>
        <w:tblLayout w:type="fixed"/>
      </w:tblPr>
      <w:tcPr>
        <w:tcBorders>
          <w:top w:val="nil"/>
          <w:left w:val="nil"/>
          <w:bottom w:val="nil"/>
          <w:right w:val="nil"/>
          <w:insideH w:val="single" w:sz="4" w:space="0"/>
          <w:insideV w:val="nil"/>
        </w:tcBorders>
        <w:shd w:val="clear" w:color="auto" w:fill="276A7C"/>
      </w:tcPr>
    </w:tblStylePr>
    <w:tblStylePr w:type="lastCol">
      <w:rPr>
        <w:color w:val="FFFFFF"/>
      </w:rPr>
      <w:tblPr>
        <w:tblLayout w:type="fixed"/>
      </w:tblPr>
      <w:tcPr>
        <w:tcBorders>
          <w:top w:val="nil"/>
          <w:left w:val="nil"/>
          <w:bottom w:val="nil"/>
          <w:right w:val="nil"/>
          <w:insideH w:val="nil"/>
          <w:insideV w:val="nil"/>
        </w:tcBorders>
        <w:shd w:val="clear" w:color="auto" w:fill="276A7C"/>
      </w:tcPr>
    </w:tblStylePr>
    <w:tblStylePr w:type="band1Vert">
      <w:tblPr>
        <w:tblLayout w:type="fixed"/>
      </w:tblPr>
      <w:tcPr>
        <w:shd w:val="clear" w:color="auto" w:fill="B6DDE8"/>
      </w:tcPr>
    </w:tblStylePr>
    <w:tblStylePr w:type="band1Horz">
      <w:tblPr>
        <w:tblLayout w:type="fixed"/>
      </w:tblPr>
      <w:tcPr>
        <w:shd w:val="clear" w:color="auto" w:fill="A5D5E2"/>
      </w:tcPr>
    </w:tblStylePr>
    <w:tblStylePr w:type="neCell">
      <w:rPr>
        <w:color w:val="000000"/>
      </w:rPr>
    </w:tblStylePr>
    <w:tblStylePr w:type="nwCell">
      <w:rPr>
        <w:color w:val="000000"/>
      </w:rPr>
    </w:tblStylePr>
  </w:style>
  <w:style w:type="table" w:styleId="117">
    <w:name w:val="Colorful Shading Accent 6"/>
    <w:basedOn w:val="32"/>
    <w:qFormat/>
    <w:uiPriority w:val="99"/>
    <w:rPr>
      <w:rFonts w:cs="Cambria"/>
      <w:color w:val="000000"/>
      <w:kern w:val="0"/>
      <w:sz w:val="20"/>
      <w:szCs w:val="2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Layout w:type="fixed"/>
      <w:tblCellMar>
        <w:top w:w="0" w:type="dxa"/>
        <w:left w:w="108" w:type="dxa"/>
        <w:bottom w:w="0" w:type="dxa"/>
        <w:right w:w="108" w:type="dxa"/>
      </w:tblCellMar>
    </w:tblPr>
    <w:tcPr>
      <w:shd w:val="clear" w:color="auto" w:fill="FEF4EC"/>
    </w:tcPr>
    <w:tblStylePr w:type="firstRow">
      <w:rPr>
        <w:b/>
        <w:bCs/>
      </w:rPr>
      <w:tblPr>
        <w:tblLayout w:type="fixed"/>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B65608"/>
      </w:tcPr>
    </w:tblStylePr>
    <w:tblStylePr w:type="firstCol">
      <w:rPr>
        <w:color w:val="FFFFFF"/>
      </w:rPr>
      <w:tblPr>
        <w:tblLayout w:type="fixed"/>
      </w:tblPr>
      <w:tcPr>
        <w:tcBorders>
          <w:top w:val="nil"/>
          <w:left w:val="nil"/>
          <w:bottom w:val="nil"/>
          <w:right w:val="nil"/>
          <w:insideH w:val="single" w:sz="4" w:space="0"/>
          <w:insideV w:val="nil"/>
        </w:tcBorders>
        <w:shd w:val="clear" w:color="auto" w:fill="B65608"/>
      </w:tcPr>
    </w:tblStylePr>
    <w:tblStylePr w:type="lastCol">
      <w:rPr>
        <w:color w:val="FFFFFF"/>
      </w:rPr>
      <w:tblPr>
        <w:tblLayout w:type="fixed"/>
      </w:tblPr>
      <w:tcPr>
        <w:tcBorders>
          <w:top w:val="nil"/>
          <w:left w:val="nil"/>
          <w:bottom w:val="nil"/>
          <w:right w:val="nil"/>
          <w:insideH w:val="nil"/>
          <w:insideV w:val="nil"/>
        </w:tcBorders>
        <w:shd w:val="clear" w:color="auto" w:fill="B65608"/>
      </w:tcPr>
    </w:tblStylePr>
    <w:tblStylePr w:type="band1Vert">
      <w:tblPr>
        <w:tblLayout w:type="fixed"/>
      </w:tblPr>
      <w:tcPr>
        <w:shd w:val="clear" w:color="auto" w:fill="FBD4B4"/>
      </w:tcPr>
    </w:tblStylePr>
    <w:tblStylePr w:type="band1Horz">
      <w:tblPr>
        <w:tblLayout w:type="fixed"/>
      </w:tblPr>
      <w:tcPr>
        <w:shd w:val="clear" w:color="auto" w:fill="FBCAA2"/>
      </w:tcPr>
    </w:tblStylePr>
    <w:tblStylePr w:type="neCell">
      <w:rPr>
        <w:color w:val="000000"/>
      </w:rPr>
    </w:tblStylePr>
    <w:tblStylePr w:type="nwCell">
      <w:rPr>
        <w:color w:val="000000"/>
      </w:rPr>
    </w:tblStylePr>
  </w:style>
  <w:style w:type="table" w:styleId="118">
    <w:name w:val="Colorful List"/>
    <w:basedOn w:val="32"/>
    <w:uiPriority w:val="99"/>
    <w:rPr>
      <w:rFonts w:cs="Cambria"/>
      <w:color w:val="000000"/>
      <w:kern w:val="0"/>
      <w:sz w:val="20"/>
      <w:szCs w:val="20"/>
    </w:rPr>
    <w:tblPr>
      <w:tblLayout w:type="fixed"/>
      <w:tblCellMar>
        <w:top w:w="0" w:type="dxa"/>
        <w:left w:w="108" w:type="dxa"/>
        <w:bottom w:w="0" w:type="dxa"/>
        <w:right w:w="108" w:type="dxa"/>
      </w:tblCellMar>
    </w:tblPr>
    <w:tcPr>
      <w:shd w:val="clear" w:color="auto" w:fill="E6E6E6"/>
    </w:tcPr>
    <w:tblStylePr w:type="firstRow">
      <w:rPr>
        <w:b/>
        <w:bCs/>
        <w:color w:val="FFFFFF"/>
      </w:rPr>
      <w:tblPr>
        <w:tblLayout w:type="fixed"/>
      </w:tblPr>
      <w:tcPr>
        <w:tcBorders>
          <w:bottom w:val="single" w:color="FFFFFF" w:sz="12" w:space="0"/>
        </w:tcBorders>
        <w:shd w:val="clear" w:color="auto" w:fill="9E3A38"/>
      </w:tcPr>
    </w:tblStylePr>
    <w:tblStylePr w:type="lastRow">
      <w:rPr>
        <w:b/>
        <w:bCs/>
        <w:color w:val="9E3A38"/>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C0C0C0"/>
      </w:tcPr>
    </w:tblStylePr>
    <w:tblStylePr w:type="band1Horz">
      <w:tblPr>
        <w:tblLayout w:type="fixed"/>
      </w:tblPr>
      <w:tcPr>
        <w:shd w:val="clear" w:color="auto" w:fill="CCCCCC"/>
      </w:tcPr>
    </w:tblStylePr>
  </w:style>
  <w:style w:type="table" w:styleId="119">
    <w:name w:val="Colorful List Accent 1"/>
    <w:basedOn w:val="32"/>
    <w:qFormat/>
    <w:uiPriority w:val="99"/>
    <w:rPr>
      <w:rFonts w:cs="Cambria"/>
      <w:color w:val="000000"/>
      <w:kern w:val="0"/>
      <w:sz w:val="20"/>
      <w:szCs w:val="20"/>
    </w:rPr>
    <w:tblPr>
      <w:tblLayout w:type="fixed"/>
      <w:tblCellMar>
        <w:top w:w="0" w:type="dxa"/>
        <w:left w:w="108" w:type="dxa"/>
        <w:bottom w:w="0" w:type="dxa"/>
        <w:right w:w="108" w:type="dxa"/>
      </w:tblCellMar>
    </w:tblPr>
    <w:tcPr>
      <w:shd w:val="clear" w:color="auto" w:fill="EDF2F8"/>
    </w:tcPr>
    <w:tblStylePr w:type="firstRow">
      <w:rPr>
        <w:b/>
        <w:bCs/>
        <w:color w:val="FFFFFF"/>
      </w:rPr>
      <w:tblPr>
        <w:tblLayout w:type="fixed"/>
      </w:tblPr>
      <w:tcPr>
        <w:tcBorders>
          <w:bottom w:val="single" w:color="FFFFFF" w:sz="12" w:space="0"/>
        </w:tcBorders>
        <w:shd w:val="clear" w:color="auto" w:fill="9E3A38"/>
      </w:tcPr>
    </w:tblStylePr>
    <w:tblStylePr w:type="lastRow">
      <w:rPr>
        <w:b/>
        <w:bCs/>
        <w:color w:val="9E3A38"/>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3DFEE"/>
      </w:tcPr>
    </w:tblStylePr>
    <w:tblStylePr w:type="band1Horz">
      <w:tblPr>
        <w:tblLayout w:type="fixed"/>
      </w:tblPr>
      <w:tcPr>
        <w:shd w:val="clear" w:color="auto" w:fill="DBE5F1"/>
      </w:tcPr>
    </w:tblStylePr>
  </w:style>
  <w:style w:type="table" w:styleId="120">
    <w:name w:val="Colorful List Accent 2"/>
    <w:basedOn w:val="32"/>
    <w:uiPriority w:val="99"/>
    <w:rPr>
      <w:rFonts w:cs="Cambria"/>
      <w:color w:val="000000"/>
      <w:kern w:val="0"/>
      <w:sz w:val="20"/>
      <w:szCs w:val="20"/>
    </w:rPr>
    <w:tblPr>
      <w:tblLayout w:type="fixed"/>
      <w:tblCellMar>
        <w:top w:w="0" w:type="dxa"/>
        <w:left w:w="108" w:type="dxa"/>
        <w:bottom w:w="0" w:type="dxa"/>
        <w:right w:w="108" w:type="dxa"/>
      </w:tblCellMar>
    </w:tblPr>
    <w:tcPr>
      <w:shd w:val="clear" w:color="auto" w:fill="F8EDED"/>
    </w:tcPr>
    <w:tblStylePr w:type="firstRow">
      <w:rPr>
        <w:b/>
        <w:bCs/>
        <w:color w:val="FFFFFF"/>
      </w:rPr>
      <w:tblPr>
        <w:tblLayout w:type="fixed"/>
      </w:tblPr>
      <w:tcPr>
        <w:tcBorders>
          <w:bottom w:val="single" w:color="FFFFFF" w:sz="12" w:space="0"/>
        </w:tcBorders>
        <w:shd w:val="clear" w:color="auto" w:fill="9E3A38"/>
      </w:tcPr>
    </w:tblStylePr>
    <w:tblStylePr w:type="lastRow">
      <w:rPr>
        <w:b/>
        <w:bCs/>
        <w:color w:val="9E3A38"/>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FD3D2"/>
      </w:tcPr>
    </w:tblStylePr>
    <w:tblStylePr w:type="band1Horz">
      <w:tblPr>
        <w:tblLayout w:type="fixed"/>
      </w:tblPr>
      <w:tcPr>
        <w:shd w:val="clear" w:color="auto" w:fill="F2DBDB"/>
      </w:tcPr>
    </w:tblStylePr>
  </w:style>
  <w:style w:type="table" w:styleId="121">
    <w:name w:val="Colorful List Accent 3"/>
    <w:basedOn w:val="32"/>
    <w:qFormat/>
    <w:uiPriority w:val="99"/>
    <w:rPr>
      <w:rFonts w:cs="Cambria"/>
      <w:color w:val="000000"/>
      <w:kern w:val="0"/>
      <w:sz w:val="20"/>
      <w:szCs w:val="20"/>
    </w:rPr>
    <w:tblPr>
      <w:tblLayout w:type="fixed"/>
      <w:tblCellMar>
        <w:top w:w="0" w:type="dxa"/>
        <w:left w:w="108" w:type="dxa"/>
        <w:bottom w:w="0" w:type="dxa"/>
        <w:right w:w="108" w:type="dxa"/>
      </w:tblCellMar>
    </w:tblPr>
    <w:tcPr>
      <w:shd w:val="clear" w:color="auto" w:fill="F5F8EE"/>
    </w:tcPr>
    <w:tblStylePr w:type="firstRow">
      <w:rPr>
        <w:b/>
        <w:bCs/>
        <w:color w:val="FFFFFF"/>
      </w:rPr>
      <w:tblPr>
        <w:tblLayout w:type="fixed"/>
      </w:tblPr>
      <w:tcPr>
        <w:tcBorders>
          <w:bottom w:val="single" w:color="FFFFFF" w:sz="12" w:space="0"/>
        </w:tcBorders>
        <w:shd w:val="clear" w:color="auto" w:fill="664E82"/>
      </w:tcPr>
    </w:tblStylePr>
    <w:tblStylePr w:type="lastRow">
      <w:rPr>
        <w:b/>
        <w:bCs/>
        <w:color w:val="664E82"/>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6EED5"/>
      </w:tcPr>
    </w:tblStylePr>
    <w:tblStylePr w:type="band1Horz">
      <w:tblPr>
        <w:tblLayout w:type="fixed"/>
      </w:tblPr>
      <w:tcPr>
        <w:shd w:val="clear" w:color="auto" w:fill="EAF1DD"/>
      </w:tcPr>
    </w:tblStylePr>
  </w:style>
  <w:style w:type="table" w:styleId="122">
    <w:name w:val="Colorful List Accent 4"/>
    <w:basedOn w:val="32"/>
    <w:uiPriority w:val="99"/>
    <w:rPr>
      <w:rFonts w:cs="Cambria"/>
      <w:color w:val="000000"/>
      <w:kern w:val="0"/>
      <w:sz w:val="20"/>
      <w:szCs w:val="20"/>
    </w:rPr>
    <w:tblPr>
      <w:tblLayout w:type="fixed"/>
      <w:tblCellMar>
        <w:top w:w="0" w:type="dxa"/>
        <w:left w:w="108" w:type="dxa"/>
        <w:bottom w:w="0" w:type="dxa"/>
        <w:right w:w="108" w:type="dxa"/>
      </w:tblCellMar>
    </w:tblPr>
    <w:tcPr>
      <w:shd w:val="clear" w:color="auto" w:fill="F2EFF6"/>
    </w:tcPr>
    <w:tblStylePr w:type="firstRow">
      <w:rPr>
        <w:b/>
        <w:bCs/>
        <w:color w:val="FFFFFF"/>
      </w:rPr>
      <w:tblPr>
        <w:tblLayout w:type="fixed"/>
      </w:tblPr>
      <w:tcPr>
        <w:tcBorders>
          <w:bottom w:val="single" w:color="FFFFFF" w:sz="12" w:space="0"/>
        </w:tcBorders>
        <w:shd w:val="clear" w:color="auto" w:fill="7E9C40"/>
      </w:tcPr>
    </w:tblStylePr>
    <w:tblStylePr w:type="lastRow">
      <w:rPr>
        <w:b/>
        <w:bCs/>
        <w:color w:val="7E9C40"/>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FD8E8"/>
      </w:tcPr>
    </w:tblStylePr>
    <w:tblStylePr w:type="band1Horz">
      <w:tblPr>
        <w:tblLayout w:type="fixed"/>
      </w:tblPr>
      <w:tcPr>
        <w:shd w:val="clear" w:color="auto" w:fill="E5DFEC"/>
      </w:tcPr>
    </w:tblStylePr>
  </w:style>
  <w:style w:type="table" w:styleId="123">
    <w:name w:val="Colorful List Accent 5"/>
    <w:basedOn w:val="32"/>
    <w:qFormat/>
    <w:uiPriority w:val="99"/>
    <w:rPr>
      <w:rFonts w:cs="Cambria"/>
      <w:color w:val="000000"/>
      <w:kern w:val="0"/>
      <w:sz w:val="20"/>
      <w:szCs w:val="20"/>
    </w:rPr>
    <w:tblPr>
      <w:tblLayout w:type="fixed"/>
      <w:tblCellMar>
        <w:top w:w="0" w:type="dxa"/>
        <w:left w:w="108" w:type="dxa"/>
        <w:bottom w:w="0" w:type="dxa"/>
        <w:right w:w="108" w:type="dxa"/>
      </w:tblCellMar>
    </w:tblPr>
    <w:tcPr>
      <w:shd w:val="clear" w:color="auto" w:fill="EDF6F9"/>
    </w:tcPr>
    <w:tblStylePr w:type="firstRow">
      <w:rPr>
        <w:b/>
        <w:bCs/>
        <w:color w:val="FFFFFF"/>
      </w:rPr>
      <w:tblPr>
        <w:tblLayout w:type="fixed"/>
      </w:tblPr>
      <w:tcPr>
        <w:tcBorders>
          <w:bottom w:val="single" w:color="FFFFFF" w:sz="12" w:space="0"/>
        </w:tcBorders>
        <w:shd w:val="clear" w:color="auto" w:fill="F2730A"/>
      </w:tcPr>
    </w:tblStylePr>
    <w:tblStylePr w:type="lastRow">
      <w:rPr>
        <w:b/>
        <w:bCs/>
        <w:color w:val="F2730A"/>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2EAF1"/>
      </w:tcPr>
    </w:tblStylePr>
    <w:tblStylePr w:type="band1Horz">
      <w:tblPr>
        <w:tblLayout w:type="fixed"/>
      </w:tblPr>
      <w:tcPr>
        <w:shd w:val="clear" w:color="auto" w:fill="DAEEF3"/>
      </w:tcPr>
    </w:tblStylePr>
  </w:style>
  <w:style w:type="table" w:styleId="124">
    <w:name w:val="Colorful List Accent 6"/>
    <w:basedOn w:val="32"/>
    <w:qFormat/>
    <w:uiPriority w:val="99"/>
    <w:rPr>
      <w:rFonts w:cs="Cambria"/>
      <w:color w:val="000000"/>
      <w:kern w:val="0"/>
      <w:sz w:val="20"/>
      <w:szCs w:val="20"/>
    </w:rPr>
    <w:tblPr>
      <w:tblLayout w:type="fixed"/>
      <w:tblCellMar>
        <w:top w:w="0" w:type="dxa"/>
        <w:left w:w="108" w:type="dxa"/>
        <w:bottom w:w="0" w:type="dxa"/>
        <w:right w:w="108" w:type="dxa"/>
      </w:tblCellMar>
    </w:tblPr>
    <w:tcPr>
      <w:shd w:val="clear" w:color="auto" w:fill="FEF4EC"/>
    </w:tcPr>
    <w:tblStylePr w:type="firstRow">
      <w:rPr>
        <w:b/>
        <w:bCs/>
        <w:color w:val="FFFFFF"/>
      </w:rPr>
      <w:tblPr>
        <w:tblLayout w:type="fixed"/>
      </w:tblPr>
      <w:tcPr>
        <w:tcBorders>
          <w:bottom w:val="single" w:color="FFFFFF" w:sz="12" w:space="0"/>
        </w:tcBorders>
        <w:shd w:val="clear" w:color="auto" w:fill="348DA5"/>
      </w:tcPr>
    </w:tblStylePr>
    <w:tblStylePr w:type="lastRow">
      <w:rPr>
        <w:b/>
        <w:bCs/>
        <w:color w:val="348DA5"/>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FDE4D0"/>
      </w:tcPr>
    </w:tblStylePr>
    <w:tblStylePr w:type="band1Horz">
      <w:tblPr>
        <w:tblLayout w:type="fixed"/>
      </w:tblPr>
      <w:tcPr>
        <w:shd w:val="clear" w:color="auto" w:fill="FDE9D9"/>
      </w:tcPr>
    </w:tblStylePr>
  </w:style>
  <w:style w:type="table" w:styleId="125">
    <w:name w:val="Colorful Grid"/>
    <w:basedOn w:val="32"/>
    <w:qFormat/>
    <w:uiPriority w:val="99"/>
    <w:rPr>
      <w:rFonts w:cs="Cambria"/>
      <w:color w:val="000000"/>
      <w:kern w:val="0"/>
      <w:sz w:val="20"/>
      <w:szCs w:val="20"/>
    </w:rPr>
    <w:tblPr>
      <w:tblBorders>
        <w:insideH w:val="single" w:color="FFFFFF" w:sz="4" w:space="0"/>
      </w:tblBorders>
      <w:tblLayout w:type="fixed"/>
      <w:tblCellMar>
        <w:top w:w="0" w:type="dxa"/>
        <w:left w:w="108" w:type="dxa"/>
        <w:bottom w:w="0" w:type="dxa"/>
        <w:right w:w="108" w:type="dxa"/>
      </w:tblCellMar>
    </w:tblPr>
    <w:tcPr>
      <w:shd w:val="clear" w:color="auto" w:fill="CCCCCC"/>
    </w:tcPr>
    <w:tblStylePr w:type="firstRow">
      <w:rPr>
        <w:b/>
        <w:bCs/>
      </w:rPr>
      <w:tblPr>
        <w:tblLayout w:type="fixed"/>
      </w:tblPr>
      <w:tcPr>
        <w:shd w:val="clear" w:color="auto" w:fill="999999"/>
      </w:tcPr>
    </w:tblStylePr>
    <w:tblStylePr w:type="lastRow">
      <w:rPr>
        <w:b/>
        <w:bCs/>
        <w:color w:val="000000"/>
      </w:rPr>
      <w:tblPr>
        <w:tblLayout w:type="fixed"/>
      </w:tblPr>
      <w:tcPr>
        <w:shd w:val="clear" w:color="auto" w:fill="999999"/>
      </w:tcPr>
    </w:tblStylePr>
    <w:tblStylePr w:type="firstCol">
      <w:rPr>
        <w:color w:val="FFFFFF"/>
      </w:rPr>
      <w:tblPr>
        <w:tblLayout w:type="fixed"/>
      </w:tblPr>
      <w:tcPr>
        <w:shd w:val="clear" w:color="auto" w:fill="000000"/>
      </w:tcPr>
    </w:tblStylePr>
    <w:tblStylePr w:type="lastCol">
      <w:rPr>
        <w:color w:val="FFFFFF"/>
      </w:rPr>
      <w:tblPr>
        <w:tblLayout w:type="fixed"/>
      </w:tblPr>
      <w:tcPr>
        <w:shd w:val="clear" w:color="auto" w:fill="000000"/>
      </w:tcPr>
    </w:tblStylePr>
    <w:tblStylePr w:type="band1Vert">
      <w:tblPr>
        <w:tblLayout w:type="fixed"/>
      </w:tblPr>
      <w:tcPr>
        <w:shd w:val="clear" w:color="auto" w:fill="808080"/>
      </w:tcPr>
    </w:tblStylePr>
    <w:tblStylePr w:type="band1Horz">
      <w:tblPr>
        <w:tblLayout w:type="fixed"/>
      </w:tblPr>
      <w:tcPr>
        <w:shd w:val="clear" w:color="auto" w:fill="808080"/>
      </w:tcPr>
    </w:tblStylePr>
  </w:style>
  <w:style w:type="table" w:styleId="126">
    <w:name w:val="Colorful Grid Accent 1"/>
    <w:basedOn w:val="32"/>
    <w:uiPriority w:val="99"/>
    <w:rPr>
      <w:rFonts w:cs="Cambria"/>
      <w:color w:val="000000"/>
      <w:kern w:val="0"/>
      <w:sz w:val="20"/>
      <w:szCs w:val="20"/>
    </w:rPr>
    <w:tblPr>
      <w:tblBorders>
        <w:insideH w:val="single" w:color="FFFFFF" w:sz="4" w:space="0"/>
      </w:tblBorders>
      <w:tblLayout w:type="fixed"/>
      <w:tblCellMar>
        <w:top w:w="0" w:type="dxa"/>
        <w:left w:w="108" w:type="dxa"/>
        <w:bottom w:w="0" w:type="dxa"/>
        <w:right w:w="108" w:type="dxa"/>
      </w:tblCellMar>
    </w:tblPr>
    <w:tcPr>
      <w:shd w:val="clear" w:color="auto" w:fill="DBE5F1"/>
    </w:tcPr>
    <w:tblStylePr w:type="firstRow">
      <w:rPr>
        <w:b/>
        <w:bCs/>
      </w:rPr>
      <w:tblPr>
        <w:tblLayout w:type="fixed"/>
      </w:tblPr>
      <w:tcPr>
        <w:shd w:val="clear" w:color="auto" w:fill="B8CCE4"/>
      </w:tcPr>
    </w:tblStylePr>
    <w:tblStylePr w:type="lastRow">
      <w:rPr>
        <w:b/>
        <w:bCs/>
        <w:color w:val="000000"/>
      </w:rPr>
      <w:tblPr>
        <w:tblLayout w:type="fixed"/>
      </w:tblPr>
      <w:tcPr>
        <w:shd w:val="clear" w:color="auto" w:fill="B8CCE4"/>
      </w:tcPr>
    </w:tblStylePr>
    <w:tblStylePr w:type="firstCol">
      <w:rPr>
        <w:color w:val="FFFFFF"/>
      </w:rPr>
      <w:tblPr>
        <w:tblLayout w:type="fixed"/>
      </w:tblPr>
      <w:tcPr>
        <w:shd w:val="clear" w:color="auto" w:fill="365F91"/>
      </w:tcPr>
    </w:tblStylePr>
    <w:tblStylePr w:type="lastCol">
      <w:rPr>
        <w:color w:val="FFFFFF"/>
      </w:rPr>
      <w:tblPr>
        <w:tblLayout w:type="fixed"/>
      </w:tblPr>
      <w:tcPr>
        <w:shd w:val="clear" w:color="auto" w:fill="365F91"/>
      </w:tcPr>
    </w:tblStylePr>
    <w:tblStylePr w:type="band1Vert">
      <w:tblPr>
        <w:tblLayout w:type="fixed"/>
      </w:tblPr>
      <w:tcPr>
        <w:shd w:val="clear" w:color="auto" w:fill="A7BFDE"/>
      </w:tcPr>
    </w:tblStylePr>
    <w:tblStylePr w:type="band1Horz">
      <w:tblPr>
        <w:tblLayout w:type="fixed"/>
      </w:tblPr>
      <w:tcPr>
        <w:shd w:val="clear" w:color="auto" w:fill="A7BFDE"/>
      </w:tcPr>
    </w:tblStylePr>
  </w:style>
  <w:style w:type="table" w:styleId="127">
    <w:name w:val="Colorful Grid Accent 2"/>
    <w:basedOn w:val="32"/>
    <w:qFormat/>
    <w:uiPriority w:val="99"/>
    <w:rPr>
      <w:rFonts w:cs="Cambria"/>
      <w:color w:val="000000"/>
      <w:kern w:val="0"/>
      <w:sz w:val="20"/>
      <w:szCs w:val="20"/>
    </w:rPr>
    <w:tblPr>
      <w:tblBorders>
        <w:insideH w:val="single" w:color="FFFFFF" w:sz="4" w:space="0"/>
      </w:tblBorders>
      <w:tblLayout w:type="fixed"/>
      <w:tblCellMar>
        <w:top w:w="0" w:type="dxa"/>
        <w:left w:w="108" w:type="dxa"/>
        <w:bottom w:w="0" w:type="dxa"/>
        <w:right w:w="108" w:type="dxa"/>
      </w:tblCellMar>
    </w:tblPr>
    <w:tcPr>
      <w:shd w:val="clear" w:color="auto" w:fill="F2DBDB"/>
    </w:tcPr>
    <w:tblStylePr w:type="firstRow">
      <w:rPr>
        <w:b/>
        <w:bCs/>
      </w:rPr>
      <w:tblPr>
        <w:tblLayout w:type="fixed"/>
      </w:tblPr>
      <w:tcPr>
        <w:shd w:val="clear" w:color="auto" w:fill="E5B8B7"/>
      </w:tcPr>
    </w:tblStylePr>
    <w:tblStylePr w:type="lastRow">
      <w:rPr>
        <w:b/>
        <w:bCs/>
        <w:color w:val="000000"/>
      </w:rPr>
      <w:tblPr>
        <w:tblLayout w:type="fixed"/>
      </w:tblPr>
      <w:tcPr>
        <w:shd w:val="clear" w:color="auto" w:fill="E5B8B7"/>
      </w:tcPr>
    </w:tblStylePr>
    <w:tblStylePr w:type="firstCol">
      <w:rPr>
        <w:color w:val="FFFFFF"/>
      </w:rPr>
      <w:tblPr>
        <w:tblLayout w:type="fixed"/>
      </w:tblPr>
      <w:tcPr>
        <w:shd w:val="clear" w:color="auto" w:fill="943634"/>
      </w:tcPr>
    </w:tblStylePr>
    <w:tblStylePr w:type="lastCol">
      <w:rPr>
        <w:color w:val="FFFFFF"/>
      </w:rPr>
      <w:tblPr>
        <w:tblLayout w:type="fixed"/>
      </w:tblPr>
      <w:tcPr>
        <w:shd w:val="clear" w:color="auto" w:fill="943634"/>
      </w:tc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table" w:styleId="128">
    <w:name w:val="Colorful Grid Accent 3"/>
    <w:basedOn w:val="32"/>
    <w:uiPriority w:val="99"/>
    <w:rPr>
      <w:rFonts w:cs="Cambria"/>
      <w:color w:val="000000"/>
      <w:kern w:val="0"/>
      <w:sz w:val="20"/>
      <w:szCs w:val="20"/>
    </w:rPr>
    <w:tblPr>
      <w:tblBorders>
        <w:insideH w:val="single" w:color="FFFFFF" w:sz="4" w:space="0"/>
      </w:tblBorders>
      <w:tblLayout w:type="fixed"/>
      <w:tblCellMar>
        <w:top w:w="0" w:type="dxa"/>
        <w:left w:w="108" w:type="dxa"/>
        <w:bottom w:w="0" w:type="dxa"/>
        <w:right w:w="108" w:type="dxa"/>
      </w:tblCellMar>
    </w:tblPr>
    <w:tcPr>
      <w:shd w:val="clear" w:color="auto" w:fill="EAF1DD"/>
    </w:tcPr>
    <w:tblStylePr w:type="firstRow">
      <w:rPr>
        <w:b/>
        <w:bCs/>
      </w:rPr>
      <w:tblPr>
        <w:tblLayout w:type="fixed"/>
      </w:tblPr>
      <w:tcPr>
        <w:shd w:val="clear" w:color="auto" w:fill="D6E3BC"/>
      </w:tcPr>
    </w:tblStylePr>
    <w:tblStylePr w:type="lastRow">
      <w:rPr>
        <w:b/>
        <w:bCs/>
        <w:color w:val="000000"/>
      </w:rPr>
      <w:tblPr>
        <w:tblLayout w:type="fixed"/>
      </w:tblPr>
      <w:tcPr>
        <w:shd w:val="clear" w:color="auto" w:fill="D6E3BC"/>
      </w:tcPr>
    </w:tblStylePr>
    <w:tblStylePr w:type="firstCol">
      <w:rPr>
        <w:color w:val="FFFFFF"/>
      </w:rPr>
      <w:tblPr>
        <w:tblLayout w:type="fixed"/>
      </w:tblPr>
      <w:tcPr>
        <w:shd w:val="clear" w:color="auto" w:fill="76923C"/>
      </w:tcPr>
    </w:tblStylePr>
    <w:tblStylePr w:type="lastCol">
      <w:rPr>
        <w:color w:val="FFFFFF"/>
      </w:rPr>
      <w:tblPr>
        <w:tblLayout w:type="fixed"/>
      </w:tblPr>
      <w:tcPr>
        <w:shd w:val="clear" w:color="auto" w:fill="76923C"/>
      </w:tcPr>
    </w:tblStylePr>
    <w:tblStylePr w:type="band1Vert">
      <w:tblPr>
        <w:tblLayout w:type="fixed"/>
      </w:tblPr>
      <w:tcPr>
        <w:shd w:val="clear" w:color="auto" w:fill="CDDDAC"/>
      </w:tcPr>
    </w:tblStylePr>
    <w:tblStylePr w:type="band1Horz">
      <w:tblPr>
        <w:tblLayout w:type="fixed"/>
      </w:tblPr>
      <w:tcPr>
        <w:shd w:val="clear" w:color="auto" w:fill="CDDDAC"/>
      </w:tcPr>
    </w:tblStylePr>
  </w:style>
  <w:style w:type="table" w:styleId="129">
    <w:name w:val="Colorful Grid Accent 4"/>
    <w:basedOn w:val="32"/>
    <w:uiPriority w:val="99"/>
    <w:rPr>
      <w:rFonts w:cs="Cambria"/>
      <w:color w:val="000000"/>
      <w:kern w:val="0"/>
      <w:sz w:val="20"/>
      <w:szCs w:val="20"/>
    </w:rPr>
    <w:tblPr>
      <w:tblBorders>
        <w:insideH w:val="single" w:color="FFFFFF" w:sz="4" w:space="0"/>
      </w:tblBorders>
      <w:tblLayout w:type="fixed"/>
      <w:tblCellMar>
        <w:top w:w="0" w:type="dxa"/>
        <w:left w:w="108" w:type="dxa"/>
        <w:bottom w:w="0" w:type="dxa"/>
        <w:right w:w="108" w:type="dxa"/>
      </w:tblCellMar>
    </w:tblPr>
    <w:tcPr>
      <w:shd w:val="clear" w:color="auto" w:fill="E5DFEC"/>
    </w:tcPr>
    <w:tblStylePr w:type="firstRow">
      <w:rPr>
        <w:b/>
        <w:bCs/>
      </w:rPr>
      <w:tblPr>
        <w:tblLayout w:type="fixed"/>
      </w:tblPr>
      <w:tcPr>
        <w:shd w:val="clear" w:color="auto" w:fill="CCC0D9"/>
      </w:tcPr>
    </w:tblStylePr>
    <w:tblStylePr w:type="lastRow">
      <w:rPr>
        <w:b/>
        <w:bCs/>
        <w:color w:val="000000"/>
      </w:rPr>
      <w:tblPr>
        <w:tblLayout w:type="fixed"/>
      </w:tblPr>
      <w:tcPr>
        <w:shd w:val="clear" w:color="auto" w:fill="CCC0D9"/>
      </w:tcPr>
    </w:tblStylePr>
    <w:tblStylePr w:type="firstCol">
      <w:rPr>
        <w:color w:val="FFFFFF"/>
      </w:rPr>
      <w:tblPr>
        <w:tblLayout w:type="fixed"/>
      </w:tblPr>
      <w:tcPr>
        <w:shd w:val="clear" w:color="auto" w:fill="5F497A"/>
      </w:tcPr>
    </w:tblStylePr>
    <w:tblStylePr w:type="lastCol">
      <w:rPr>
        <w:color w:val="FFFFFF"/>
      </w:rPr>
      <w:tblPr>
        <w:tblLayout w:type="fixed"/>
      </w:tblPr>
      <w:tcPr>
        <w:shd w:val="clear" w:color="auto" w:fill="5F497A"/>
      </w:tcPr>
    </w:tblStylePr>
    <w:tblStylePr w:type="band1Vert">
      <w:tblPr>
        <w:tblLayout w:type="fixed"/>
      </w:tblPr>
      <w:tcPr>
        <w:shd w:val="clear" w:color="auto" w:fill="BFB1D0"/>
      </w:tcPr>
    </w:tblStylePr>
    <w:tblStylePr w:type="band1Horz">
      <w:tblPr>
        <w:tblLayout w:type="fixed"/>
      </w:tblPr>
      <w:tcPr>
        <w:shd w:val="clear" w:color="auto" w:fill="BFB1D0"/>
      </w:tcPr>
    </w:tblStylePr>
  </w:style>
  <w:style w:type="table" w:styleId="130">
    <w:name w:val="Colorful Grid Accent 5"/>
    <w:basedOn w:val="32"/>
    <w:uiPriority w:val="99"/>
    <w:rPr>
      <w:rFonts w:cs="Cambria"/>
      <w:color w:val="000000"/>
      <w:kern w:val="0"/>
      <w:sz w:val="20"/>
      <w:szCs w:val="20"/>
    </w:rPr>
    <w:tblPr>
      <w:tblBorders>
        <w:insideH w:val="single" w:color="FFFFFF" w:sz="4" w:space="0"/>
      </w:tblBorders>
      <w:tblLayout w:type="fixed"/>
      <w:tblCellMar>
        <w:top w:w="0" w:type="dxa"/>
        <w:left w:w="108" w:type="dxa"/>
        <w:bottom w:w="0" w:type="dxa"/>
        <w:right w:w="108" w:type="dxa"/>
      </w:tblCellMar>
    </w:tblPr>
    <w:tcPr>
      <w:shd w:val="clear" w:color="auto" w:fill="DAEEF3"/>
    </w:tcPr>
    <w:tblStylePr w:type="firstRow">
      <w:rPr>
        <w:b/>
        <w:bCs/>
      </w:rPr>
      <w:tblPr>
        <w:tblLayout w:type="fixed"/>
      </w:tblPr>
      <w:tcPr>
        <w:shd w:val="clear" w:color="auto" w:fill="B6DDE8"/>
      </w:tcPr>
    </w:tblStylePr>
    <w:tblStylePr w:type="lastRow">
      <w:rPr>
        <w:b/>
        <w:bCs/>
        <w:color w:val="000000"/>
      </w:rPr>
      <w:tblPr>
        <w:tblLayout w:type="fixed"/>
      </w:tblPr>
      <w:tcPr>
        <w:shd w:val="clear" w:color="auto" w:fill="B6DDE8"/>
      </w:tcPr>
    </w:tblStylePr>
    <w:tblStylePr w:type="firstCol">
      <w:rPr>
        <w:color w:val="FFFFFF"/>
      </w:rPr>
      <w:tblPr>
        <w:tblLayout w:type="fixed"/>
      </w:tblPr>
      <w:tcPr>
        <w:shd w:val="clear" w:color="auto" w:fill="31849B"/>
      </w:tcPr>
    </w:tblStylePr>
    <w:tblStylePr w:type="lastCol">
      <w:rPr>
        <w:color w:val="FFFFFF"/>
      </w:rPr>
      <w:tblPr>
        <w:tblLayout w:type="fixed"/>
      </w:tblPr>
      <w:tcPr>
        <w:shd w:val="clear" w:color="auto" w:fill="31849B"/>
      </w:tcPr>
    </w:tblStylePr>
    <w:tblStylePr w:type="band1Vert">
      <w:tblPr>
        <w:tblLayout w:type="fixed"/>
      </w:tblPr>
      <w:tcPr>
        <w:shd w:val="clear" w:color="auto" w:fill="A5D5E2"/>
      </w:tcPr>
    </w:tblStylePr>
    <w:tblStylePr w:type="band1Horz">
      <w:tblPr>
        <w:tblLayout w:type="fixed"/>
      </w:tblPr>
      <w:tcPr>
        <w:shd w:val="clear" w:color="auto" w:fill="A5D5E2"/>
      </w:tcPr>
    </w:tblStylePr>
  </w:style>
  <w:style w:type="table" w:styleId="131">
    <w:name w:val="Colorful Grid Accent 6"/>
    <w:basedOn w:val="32"/>
    <w:uiPriority w:val="99"/>
    <w:rPr>
      <w:rFonts w:cs="Cambria"/>
      <w:color w:val="000000"/>
      <w:kern w:val="0"/>
      <w:sz w:val="20"/>
      <w:szCs w:val="20"/>
    </w:rPr>
    <w:tblPr>
      <w:tblBorders>
        <w:insideH w:val="single" w:color="FFFFFF" w:sz="4" w:space="0"/>
      </w:tblBorders>
      <w:tblLayout w:type="fixed"/>
      <w:tblCellMar>
        <w:top w:w="0" w:type="dxa"/>
        <w:left w:w="108" w:type="dxa"/>
        <w:bottom w:w="0" w:type="dxa"/>
        <w:right w:w="108" w:type="dxa"/>
      </w:tblCellMar>
    </w:tblPr>
    <w:tcPr>
      <w:shd w:val="clear" w:color="auto" w:fill="FDE9D9"/>
    </w:tcPr>
    <w:tblStylePr w:type="firstRow">
      <w:rPr>
        <w:b/>
        <w:bCs/>
      </w:rPr>
      <w:tblPr>
        <w:tblLayout w:type="fixed"/>
      </w:tblPr>
      <w:tcPr>
        <w:shd w:val="clear" w:color="auto" w:fill="FBD4B4"/>
      </w:tcPr>
    </w:tblStylePr>
    <w:tblStylePr w:type="lastRow">
      <w:rPr>
        <w:b/>
        <w:bCs/>
        <w:color w:val="000000"/>
      </w:rPr>
      <w:tblPr>
        <w:tblLayout w:type="fixed"/>
      </w:tblPr>
      <w:tcPr>
        <w:shd w:val="clear" w:color="auto" w:fill="FBD4B4"/>
      </w:tcPr>
    </w:tblStylePr>
    <w:tblStylePr w:type="firstCol">
      <w:rPr>
        <w:color w:val="FFFFFF"/>
      </w:rPr>
      <w:tblPr>
        <w:tblLayout w:type="fixed"/>
      </w:tblPr>
      <w:tcPr>
        <w:shd w:val="clear" w:color="auto" w:fill="E36C0A"/>
      </w:tcPr>
    </w:tblStylePr>
    <w:tblStylePr w:type="lastCol">
      <w:rPr>
        <w:color w:val="FFFFFF"/>
      </w:rPr>
      <w:tblPr>
        <w:tblLayout w:type="fixed"/>
      </w:tblPr>
      <w:tcPr>
        <w:shd w:val="clear" w:color="auto" w:fill="E36C0A"/>
      </w:tcPr>
    </w:tblStylePr>
    <w:tblStylePr w:type="band1Vert">
      <w:tblPr>
        <w:tblLayout w:type="fixed"/>
      </w:tblPr>
      <w:tcPr>
        <w:shd w:val="clear" w:color="auto" w:fill="FBCAA2"/>
      </w:tcPr>
    </w:tblStylePr>
    <w:tblStylePr w:type="band1Horz">
      <w:tblPr>
        <w:tblLayout w:type="fixed"/>
      </w:tblPr>
      <w:tcPr>
        <w:shd w:val="clear" w:color="auto" w:fill="FBCAA2"/>
      </w:tcPr>
    </w:tblStylePr>
  </w:style>
  <w:style w:type="character" w:styleId="133">
    <w:name w:val="Strong"/>
    <w:basedOn w:val="132"/>
    <w:qFormat/>
    <w:uiPriority w:val="99"/>
    <w:rPr>
      <w:b/>
      <w:bCs/>
    </w:rPr>
  </w:style>
  <w:style w:type="character" w:styleId="134">
    <w:name w:val="Emphasis"/>
    <w:basedOn w:val="132"/>
    <w:qFormat/>
    <w:uiPriority w:val="99"/>
    <w:rPr>
      <w:i/>
      <w:iCs/>
    </w:rPr>
  </w:style>
  <w:style w:type="character" w:customStyle="1" w:styleId="135">
    <w:name w:val="Heading 1 Char"/>
    <w:basedOn w:val="132"/>
    <w:link w:val="3"/>
    <w:locked/>
    <w:uiPriority w:val="99"/>
    <w:rPr>
      <w:rFonts w:ascii="Calibri" w:hAnsi="Calibri" w:eastAsia="MS Gothic" w:cs="Calibri"/>
      <w:b/>
      <w:bCs/>
      <w:color w:val="365F91"/>
      <w:sz w:val="28"/>
      <w:szCs w:val="28"/>
    </w:rPr>
  </w:style>
  <w:style w:type="character" w:customStyle="1" w:styleId="136">
    <w:name w:val="Heading 2 Char"/>
    <w:basedOn w:val="132"/>
    <w:link w:val="4"/>
    <w:locked/>
    <w:uiPriority w:val="99"/>
    <w:rPr>
      <w:rFonts w:ascii="Calibri" w:hAnsi="Calibri" w:eastAsia="MS Gothic" w:cs="Calibri"/>
      <w:b/>
      <w:bCs/>
      <w:color w:val="4F81BD"/>
      <w:sz w:val="26"/>
      <w:szCs w:val="26"/>
    </w:rPr>
  </w:style>
  <w:style w:type="character" w:customStyle="1" w:styleId="137">
    <w:name w:val="Heading 3 Char"/>
    <w:basedOn w:val="132"/>
    <w:link w:val="5"/>
    <w:qFormat/>
    <w:locked/>
    <w:uiPriority w:val="99"/>
    <w:rPr>
      <w:rFonts w:ascii="Calibri" w:hAnsi="Calibri" w:eastAsia="MS Gothic" w:cs="Calibri"/>
      <w:b/>
      <w:bCs/>
      <w:color w:val="4F81BD"/>
    </w:rPr>
  </w:style>
  <w:style w:type="character" w:customStyle="1" w:styleId="138">
    <w:name w:val="Heading 4 Char"/>
    <w:basedOn w:val="132"/>
    <w:link w:val="6"/>
    <w:semiHidden/>
    <w:locked/>
    <w:uiPriority w:val="99"/>
    <w:rPr>
      <w:rFonts w:ascii="Calibri" w:hAnsi="Calibri" w:eastAsia="MS Gothic" w:cs="Calibri"/>
      <w:b/>
      <w:bCs/>
      <w:i/>
      <w:iCs/>
      <w:color w:val="4F81BD"/>
    </w:rPr>
  </w:style>
  <w:style w:type="character" w:customStyle="1" w:styleId="139">
    <w:name w:val="Heading 5 Char"/>
    <w:basedOn w:val="132"/>
    <w:link w:val="7"/>
    <w:semiHidden/>
    <w:qFormat/>
    <w:locked/>
    <w:uiPriority w:val="99"/>
    <w:rPr>
      <w:rFonts w:ascii="Calibri" w:hAnsi="Calibri" w:eastAsia="MS Gothic" w:cs="Calibri"/>
      <w:color w:val="244061"/>
    </w:rPr>
  </w:style>
  <w:style w:type="character" w:customStyle="1" w:styleId="140">
    <w:name w:val="Heading 6 Char"/>
    <w:basedOn w:val="132"/>
    <w:link w:val="8"/>
    <w:semiHidden/>
    <w:locked/>
    <w:uiPriority w:val="99"/>
    <w:rPr>
      <w:rFonts w:ascii="Calibri" w:hAnsi="Calibri" w:eastAsia="MS Gothic" w:cs="Calibri"/>
      <w:i/>
      <w:iCs/>
      <w:color w:val="244061"/>
    </w:rPr>
  </w:style>
  <w:style w:type="character" w:customStyle="1" w:styleId="141">
    <w:name w:val="Heading 7 Char"/>
    <w:basedOn w:val="132"/>
    <w:link w:val="9"/>
    <w:semiHidden/>
    <w:qFormat/>
    <w:locked/>
    <w:uiPriority w:val="99"/>
    <w:rPr>
      <w:rFonts w:ascii="Calibri" w:hAnsi="Calibri" w:eastAsia="MS Gothic" w:cs="Calibri"/>
      <w:i/>
      <w:iCs/>
      <w:color w:val="404040"/>
    </w:rPr>
  </w:style>
  <w:style w:type="character" w:customStyle="1" w:styleId="142">
    <w:name w:val="Heading 8 Char"/>
    <w:basedOn w:val="132"/>
    <w:link w:val="10"/>
    <w:semiHidden/>
    <w:qFormat/>
    <w:locked/>
    <w:uiPriority w:val="99"/>
    <w:rPr>
      <w:rFonts w:ascii="Calibri" w:hAnsi="Calibri" w:eastAsia="MS Gothic" w:cs="Calibri"/>
      <w:color w:val="4F81BD"/>
      <w:sz w:val="20"/>
      <w:szCs w:val="20"/>
    </w:rPr>
  </w:style>
  <w:style w:type="character" w:customStyle="1" w:styleId="143">
    <w:name w:val="Heading 9 Char"/>
    <w:basedOn w:val="132"/>
    <w:link w:val="11"/>
    <w:semiHidden/>
    <w:qFormat/>
    <w:locked/>
    <w:uiPriority w:val="99"/>
    <w:rPr>
      <w:rFonts w:ascii="Calibri" w:hAnsi="Calibri" w:eastAsia="MS Gothic" w:cs="Calibri"/>
      <w:i/>
      <w:iCs/>
      <w:color w:val="404040"/>
      <w:sz w:val="20"/>
      <w:szCs w:val="20"/>
    </w:rPr>
  </w:style>
  <w:style w:type="character" w:customStyle="1" w:styleId="144">
    <w:name w:val="Macro Text Char"/>
    <w:basedOn w:val="132"/>
    <w:link w:val="2"/>
    <w:qFormat/>
    <w:locked/>
    <w:uiPriority w:val="99"/>
    <w:rPr>
      <w:rFonts w:ascii="Courier" w:hAnsi="Courier" w:cs="Courier"/>
      <w:lang w:val="en-US" w:eastAsia="en-US"/>
    </w:rPr>
  </w:style>
  <w:style w:type="character" w:customStyle="1" w:styleId="145">
    <w:name w:val="Body Text 3 Char"/>
    <w:basedOn w:val="132"/>
    <w:link w:val="17"/>
    <w:qFormat/>
    <w:locked/>
    <w:uiPriority w:val="99"/>
    <w:rPr>
      <w:sz w:val="16"/>
      <w:szCs w:val="16"/>
    </w:rPr>
  </w:style>
  <w:style w:type="character" w:customStyle="1" w:styleId="146">
    <w:name w:val="Body Text Char"/>
    <w:basedOn w:val="132"/>
    <w:link w:val="19"/>
    <w:locked/>
    <w:uiPriority w:val="99"/>
  </w:style>
  <w:style w:type="character" w:customStyle="1" w:styleId="147">
    <w:name w:val="Footer Char"/>
    <w:basedOn w:val="132"/>
    <w:link w:val="24"/>
    <w:qFormat/>
    <w:locked/>
    <w:uiPriority w:val="99"/>
  </w:style>
  <w:style w:type="character" w:customStyle="1" w:styleId="148">
    <w:name w:val="Header Char"/>
    <w:basedOn w:val="132"/>
    <w:link w:val="25"/>
    <w:qFormat/>
    <w:locked/>
    <w:uiPriority w:val="99"/>
  </w:style>
  <w:style w:type="character" w:customStyle="1" w:styleId="149">
    <w:name w:val="Subtitle Char"/>
    <w:basedOn w:val="132"/>
    <w:link w:val="26"/>
    <w:locked/>
    <w:uiPriority w:val="99"/>
    <w:rPr>
      <w:rFonts w:ascii="Calibri" w:hAnsi="Calibri" w:eastAsia="MS Gothic" w:cs="Calibri"/>
      <w:i/>
      <w:iCs/>
      <w:color w:val="4F81BD"/>
      <w:spacing w:val="15"/>
      <w:sz w:val="24"/>
      <w:szCs w:val="24"/>
    </w:rPr>
  </w:style>
  <w:style w:type="character" w:customStyle="1" w:styleId="150">
    <w:name w:val="Body Text 2 Char"/>
    <w:basedOn w:val="132"/>
    <w:link w:val="28"/>
    <w:qFormat/>
    <w:locked/>
    <w:uiPriority w:val="99"/>
  </w:style>
  <w:style w:type="character" w:customStyle="1" w:styleId="151">
    <w:name w:val="Title Char"/>
    <w:basedOn w:val="132"/>
    <w:link w:val="31"/>
    <w:qFormat/>
    <w:locked/>
    <w:uiPriority w:val="99"/>
    <w:rPr>
      <w:rFonts w:ascii="Calibri" w:hAnsi="Calibri" w:eastAsia="MS Gothic" w:cs="Calibri"/>
      <w:color w:val="17365D"/>
      <w:spacing w:val="5"/>
      <w:kern w:val="28"/>
      <w:sz w:val="52"/>
      <w:szCs w:val="52"/>
    </w:rPr>
  </w:style>
  <w:style w:type="paragraph" w:styleId="152">
    <w:name w:val="No Spacing"/>
    <w:qFormat/>
    <w:uiPriority w:val="99"/>
    <w:rPr>
      <w:rFonts w:ascii="Cambria" w:hAnsi="Cambria" w:eastAsia="MS Minchofalt" w:cs="Cambria"/>
      <w:kern w:val="0"/>
      <w:sz w:val="22"/>
      <w:szCs w:val="22"/>
      <w:lang w:val="en-US" w:eastAsia="en-US" w:bidi="ar-SA"/>
    </w:rPr>
  </w:style>
  <w:style w:type="paragraph" w:styleId="153">
    <w:name w:val="List Paragraph"/>
    <w:basedOn w:val="1"/>
    <w:qFormat/>
    <w:uiPriority w:val="99"/>
    <w:pPr>
      <w:ind w:left="720"/>
    </w:pPr>
  </w:style>
  <w:style w:type="paragraph" w:styleId="154">
    <w:name w:val="Quote"/>
    <w:basedOn w:val="1"/>
    <w:next w:val="1"/>
    <w:link w:val="155"/>
    <w:qFormat/>
    <w:uiPriority w:val="99"/>
    <w:rPr>
      <w:i/>
      <w:iCs/>
      <w:color w:val="000000"/>
    </w:rPr>
  </w:style>
  <w:style w:type="character" w:customStyle="1" w:styleId="155">
    <w:name w:val="Quote Char"/>
    <w:basedOn w:val="132"/>
    <w:link w:val="154"/>
    <w:qFormat/>
    <w:locked/>
    <w:uiPriority w:val="99"/>
    <w:rPr>
      <w:i/>
      <w:iCs/>
      <w:color w:val="000000"/>
    </w:rPr>
  </w:style>
  <w:style w:type="paragraph" w:styleId="156">
    <w:name w:val="Intense Quote"/>
    <w:basedOn w:val="1"/>
    <w:next w:val="1"/>
    <w:link w:val="157"/>
    <w:qFormat/>
    <w:uiPriority w:val="99"/>
    <w:pPr>
      <w:pBdr>
        <w:bottom w:val="single" w:color="4F81BD" w:sz="4" w:space="4"/>
      </w:pBdr>
      <w:spacing w:before="200" w:after="280"/>
      <w:ind w:left="936" w:right="936"/>
    </w:pPr>
    <w:rPr>
      <w:b/>
      <w:bCs/>
      <w:i/>
      <w:iCs/>
      <w:color w:val="4F81BD"/>
    </w:rPr>
  </w:style>
  <w:style w:type="character" w:customStyle="1" w:styleId="157">
    <w:name w:val="Intense Quote Char"/>
    <w:basedOn w:val="132"/>
    <w:link w:val="156"/>
    <w:qFormat/>
    <w:locked/>
    <w:uiPriority w:val="99"/>
    <w:rPr>
      <w:b/>
      <w:bCs/>
      <w:i/>
      <w:iCs/>
      <w:color w:val="4F81BD"/>
    </w:rPr>
  </w:style>
  <w:style w:type="character" w:customStyle="1" w:styleId="158">
    <w:name w:val="Subtle Emphasis1"/>
    <w:basedOn w:val="132"/>
    <w:qFormat/>
    <w:uiPriority w:val="99"/>
    <w:rPr>
      <w:i/>
      <w:iCs/>
      <w:color w:val="auto"/>
    </w:rPr>
  </w:style>
  <w:style w:type="character" w:customStyle="1" w:styleId="159">
    <w:name w:val="Intense Emphasis1"/>
    <w:basedOn w:val="132"/>
    <w:uiPriority w:val="99"/>
    <w:rPr>
      <w:b/>
      <w:bCs/>
      <w:i/>
      <w:iCs/>
      <w:color w:val="4F81BD"/>
    </w:rPr>
  </w:style>
  <w:style w:type="character" w:customStyle="1" w:styleId="160">
    <w:name w:val="Subtle Reference1"/>
    <w:basedOn w:val="132"/>
    <w:qFormat/>
    <w:uiPriority w:val="99"/>
    <w:rPr>
      <w:smallCaps/>
      <w:color w:val="C0504D"/>
      <w:u w:val="single"/>
    </w:rPr>
  </w:style>
  <w:style w:type="character" w:customStyle="1" w:styleId="161">
    <w:name w:val="Intense Reference1"/>
    <w:basedOn w:val="132"/>
    <w:qFormat/>
    <w:uiPriority w:val="99"/>
    <w:rPr>
      <w:b/>
      <w:bCs/>
      <w:smallCaps/>
      <w:color w:val="C0504D"/>
      <w:spacing w:val="5"/>
      <w:u w:val="single"/>
    </w:rPr>
  </w:style>
  <w:style w:type="character" w:customStyle="1" w:styleId="162">
    <w:name w:val="Book Title1"/>
    <w:basedOn w:val="132"/>
    <w:qFormat/>
    <w:uiPriority w:val="99"/>
    <w:rPr>
      <w:b/>
      <w:bCs/>
      <w:smallCaps/>
      <w:spacing w:val="5"/>
    </w:rPr>
  </w:style>
  <w:style w:type="paragraph" w:customStyle="1" w:styleId="163">
    <w:name w:val="TOC Heading1"/>
    <w:basedOn w:val="3"/>
    <w:next w:val="1"/>
    <w:semiHidden/>
    <w:qFormat/>
    <w:uiPriority w:val="99"/>
    <w:pPr>
      <w:outlineLvl w:val="9"/>
    </w:pPr>
  </w:style>
  <w:style w:type="paragraph" w:customStyle="1" w:styleId="164">
    <w:name w:val="p17"/>
    <w:basedOn w:val="1"/>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5945</Words>
  <Characters>6505</Characters>
  <Lines>0</Lines>
  <Paragraphs>0</Paragraphs>
  <TotalTime>1</TotalTime>
  <ScaleCrop>false</ScaleCrop>
  <LinksUpToDate>false</LinksUpToDate>
  <CharactersWithSpaces>6549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Administrator</cp:lastModifiedBy>
  <cp:lastPrinted>2021-04-26T06:45:00Z</cp:lastPrinted>
  <dcterms:modified xsi:type="dcterms:W3CDTF">2023-08-16T02:00:27Z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9AE104B8A301420EA509A6647CB442A8</vt:lpwstr>
  </property>
</Properties>
</file>