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楷体" w:hAnsi="楷体" w:eastAsia="楷体" w:cs="楷体"/>
          <w:b w:val="0"/>
          <w:bCs w:val="0"/>
          <w:color w:val="000000"/>
          <w:spacing w:val="-40"/>
          <w:sz w:val="32"/>
          <w:szCs w:val="32"/>
          <w:u w:val="none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color w:val="000000"/>
          <w:spacing w:val="-40"/>
          <w:sz w:val="32"/>
          <w:szCs w:val="32"/>
          <w:u w:val="none"/>
          <w:lang w:val="en-US" w:eastAsia="zh-CN"/>
        </w:rPr>
        <w:t>附件3：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44"/>
          <w:szCs w:val="44"/>
          <w:u w:val="none"/>
          <w:lang w:val="en-US" w:eastAsia="zh-CN"/>
        </w:rPr>
        <w:t>全县“十佳十差”股室评选法院执行局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44"/>
          <w:szCs w:val="44"/>
          <w:lang w:val="en-US" w:eastAsia="zh-CN"/>
        </w:rPr>
        <w:t>评分细则</w:t>
      </w:r>
      <w:bookmarkEnd w:id="0"/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792"/>
        <w:gridCol w:w="5196"/>
        <w:gridCol w:w="579"/>
        <w:gridCol w:w="11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考核项目</w:t>
            </w: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考核内容</w:t>
            </w: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计分标准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分值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6" w:hRule="atLeast"/>
        </w:trPr>
        <w:tc>
          <w:tcPr>
            <w:tcW w:w="73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特殊类</w:t>
            </w:r>
          </w:p>
        </w:tc>
        <w:tc>
          <w:tcPr>
            <w:tcW w:w="79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履行执行工作职责</w:t>
            </w: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认真履行执行工作职责，全年首执案件结案率不低于85%；全年首执案件执行完毕率不低于25%；全年首执案件实际执行到位率不低20%；以上三项指标每降低一个百分点扣1分。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资料佐证日常核查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5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9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加强执行案款管理，严格控制案款认领、提存、发放等重点环节规定时间，主动向申请人反馈执行进展情况，及时发放案款，并做好执行案款清理工作，原则上执行案款到账后10日内发放完毕，无特殊情况每推迟1日发放扣1分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资料佐证日常核查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9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优化法治营商环境</w:t>
            </w: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建立健全执行联动机制，全力整治涉企执行联动不够的问题，积极构建常态化打击拒执犯罪工作机制，全年办理拒执犯罪案件不少于1件；未办理此项不计分。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资料佐证日常核查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4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9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聚焦涉民生、涉农民工工资等案件，切实提升涉企案件执行实效，全年组织开展涉企案件专项执行行动不少于4次，每少1次扣1分；对有履行能力而拒不履行、抗拒执行的被执行人依法采取司法拘留、罚款等措施，切实维护企业及相关各方主体的合法权益，全年司法拘留不少于20人，罚款不少于5人，每少1人扣0.5分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资料佐证日常核查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4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9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协同配合落实对失信记录人员实施联合惩戒措施，对有失信记录的被执行人在选人、用人上采取联合惩戒，形成一处失信，处处受阻的震慑力。全年协助县内其他单位进行失信核查不少于50人，每少1人扣0.1分。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资料佐证日常核查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6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9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进一步完善和落实执行转破产制度，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建立健全顺畅有序的执破一体衔接机制，强化了执行程序中“僵尸企业”的清出力度，将严重失信企业按法定程序清退出市场，全年办理“执转破”清理“僵尸”企业案件不少于2件，每少1件扣1分。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资料佐证、日常核查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社会监督</w:t>
            </w: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经群众举报，经查实在执行过程中存在违法违规行为的，每起扣2分。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资料佐证现场核查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其他</w:t>
            </w: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按要求报送与评选活动相关的各类台账资料。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倒扣分事项</w:t>
            </w:r>
          </w:p>
        </w:tc>
        <w:tc>
          <w:tcPr>
            <w:tcW w:w="5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发现存在违反《人民法院规范执行行为“十个严禁”》的行为，扣1分/次。</w:t>
            </w:r>
          </w:p>
        </w:tc>
        <w:tc>
          <w:tcPr>
            <w:tcW w:w="5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资料佐证现场核查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MzY2OGNkZjgwYjRjN2UyZDgxMjZhZWExZmMyZDMifQ=="/>
  </w:docVars>
  <w:rsids>
    <w:rsidRoot w:val="1A2A3BA3"/>
    <w:rsid w:val="1A2A3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2023-08-30T09:10:00Z</dcterms:created>
  <dc:creator>黑得漂亮 </dc:creator>
  <cp:lastModifiedBy>黑得漂亮 </cp:lastModifiedBy>
  <dcterms:modified xsi:type="dcterms:W3CDTF">2023-08-30T09:10:16Z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DFA7CEB48E1846C5809B9BA94EED1B6F_11</vt:lpwstr>
  </property>
</Properties>
</file>