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Times New Roman" w:hAnsi="Times New Roman" w:eastAsia="黑体"/>
          <w:kern w:val="0"/>
          <w:sz w:val="28"/>
          <w:szCs w:val="28"/>
          <w:lang w:eastAsia="zh-CN"/>
        </w:rPr>
      </w:pPr>
      <w:r>
        <w:rPr>
          <w:rFonts w:hint="eastAsia" w:ascii="Times New Roman" w:hAnsi="Times New Roman" w:eastAsia="黑体"/>
          <w:kern w:val="0"/>
          <w:sz w:val="28"/>
          <w:szCs w:val="28"/>
        </w:rPr>
        <w:t>附件</w:t>
      </w:r>
      <w:r>
        <w:rPr>
          <w:rFonts w:hint="eastAsia" w:ascii="Times New Roman" w:hAnsi="Times New Roman" w:eastAsia="黑体"/>
          <w:kern w:val="0"/>
          <w:sz w:val="28"/>
          <w:szCs w:val="28"/>
          <w:lang w:val="en-US" w:eastAsia="zh-CN"/>
        </w:rPr>
        <w:t>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2"/>
          <w:szCs w:val="32"/>
          <w:lang w:eastAsia="zh-CN"/>
        </w:rPr>
      </w:pPr>
      <w:bookmarkStart w:id="0" w:name="_GoBack"/>
      <w:r>
        <w:rPr>
          <w:rFonts w:hint="eastAsia" w:ascii="方正小标宋简体" w:hAnsi="宋体" w:eastAsia="方正小标宋简体" w:cs="宋体"/>
          <w:kern w:val="0"/>
          <w:sz w:val="32"/>
          <w:szCs w:val="32"/>
          <w:lang w:eastAsia="zh-CN"/>
        </w:rPr>
        <w:t>桃江县“十佳十差”股室评选活动测评调查问卷样表二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32"/>
          <w:szCs w:val="32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lang w:eastAsia="zh-CN"/>
        </w:rPr>
        <w:t>（行政监管、行政执法类）</w:t>
      </w:r>
      <w:bookmarkEnd w:id="0"/>
    </w:p>
    <w:p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240" w:firstLineChars="100"/>
        <w:textAlignment w:val="auto"/>
        <w:rPr>
          <w:rFonts w:hint="eastAsia" w:hAnsi="宋体"/>
          <w:sz w:val="24"/>
        </w:rPr>
      </w:pPr>
      <w:r>
        <w:rPr>
          <w:rFonts w:hint="eastAsia" w:hAnsi="宋体"/>
          <w:sz w:val="24"/>
        </w:rPr>
        <w:t>注：请在您认为的结果所代表的数字打</w:t>
      </w:r>
      <w:r>
        <w:rPr>
          <w:sz w:val="24"/>
        </w:rPr>
        <w:t>“√”</w:t>
      </w:r>
      <w:r>
        <w:rPr>
          <w:rFonts w:hint="eastAsia" w:hAnsi="宋体"/>
          <w:sz w:val="24"/>
        </w:rPr>
        <w:t>。</w:t>
      </w:r>
      <w:r>
        <w:rPr>
          <w:rFonts w:hint="eastAsia" w:hAnsi="宋体"/>
          <w:b/>
          <w:bCs/>
          <w:sz w:val="24"/>
          <w:u w:val="single"/>
        </w:rPr>
        <w:t>满意：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①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</w:t>
      </w:r>
      <w:r>
        <w:rPr>
          <w:rFonts w:hint="eastAsia" w:hAnsi="宋体"/>
          <w:b/>
          <w:bCs/>
          <w:sz w:val="24"/>
          <w:u w:val="single"/>
          <w:lang w:eastAsia="zh-CN"/>
        </w:rPr>
        <w:t>基本</w:t>
      </w:r>
      <w:r>
        <w:rPr>
          <w:rFonts w:hint="eastAsia" w:hAnsi="宋体"/>
          <w:b/>
          <w:bCs/>
          <w:sz w:val="24"/>
          <w:u w:val="single"/>
        </w:rPr>
        <w:t>满意：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②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，不满意：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③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，不了解：</w:t>
      </w:r>
      <w:r>
        <w:rPr>
          <w:b/>
          <w:bCs/>
          <w:sz w:val="24"/>
          <w:u w:val="single"/>
        </w:rPr>
        <w:t>“</w:t>
      </w:r>
      <w:r>
        <w:rPr>
          <w:rFonts w:hint="eastAsia" w:ascii="宋体" w:hAnsi="宋体" w:cs="宋体"/>
          <w:b/>
          <w:sz w:val="24"/>
          <w:u w:val="single"/>
        </w:rPr>
        <w:t>④</w:t>
      </w:r>
      <w:r>
        <w:rPr>
          <w:b/>
          <w:bCs/>
          <w:sz w:val="24"/>
          <w:u w:val="single"/>
        </w:rPr>
        <w:t>”</w:t>
      </w:r>
      <w:r>
        <w:rPr>
          <w:rFonts w:hint="eastAsia" w:hAnsi="宋体"/>
          <w:b/>
          <w:bCs/>
          <w:sz w:val="24"/>
          <w:u w:val="single"/>
        </w:rPr>
        <w:t>，不了解。</w:t>
      </w:r>
      <w:r>
        <w:rPr>
          <w:b/>
          <w:sz w:val="24"/>
          <w:u w:val="single"/>
        </w:rPr>
        <w:t xml:space="preserve"> </w:t>
      </w:r>
      <w:r>
        <w:rPr>
          <w:rFonts w:hint="eastAsia" w:ascii="Times New Roman" w:hAnsi="Times New Roman"/>
          <w:sz w:val="24"/>
          <w:lang w:val="en-US" w:eastAsia="zh-CN"/>
        </w:rPr>
        <w:t>4</w:t>
      </w:r>
      <w:r>
        <w:rPr>
          <w:rFonts w:hint="eastAsia" w:ascii="Times New Roman" w:hAnsi="Times New Roman"/>
          <w:sz w:val="24"/>
        </w:rPr>
        <w:t>选</w:t>
      </w:r>
      <w:r>
        <w:rPr>
          <w:rFonts w:ascii="Times New Roman" w:hAnsi="Times New Roman"/>
          <w:sz w:val="24"/>
        </w:rPr>
        <w:t>1</w:t>
      </w:r>
      <w:r>
        <w:rPr>
          <w:rFonts w:hint="eastAsia" w:hAnsi="宋体"/>
          <w:sz w:val="24"/>
        </w:rPr>
        <w:t>，多选无效。</w:t>
      </w:r>
    </w:p>
    <w:tbl>
      <w:tblPr>
        <w:tblStyle w:val="4"/>
        <w:tblW w:w="4779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1"/>
        <w:gridCol w:w="2202"/>
        <w:gridCol w:w="1010"/>
        <w:gridCol w:w="1164"/>
        <w:gridCol w:w="1104"/>
        <w:gridCol w:w="110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主管部门</w:t>
            </w:r>
          </w:p>
        </w:tc>
        <w:tc>
          <w:tcPr>
            <w:tcW w:w="265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股室名称</w:t>
            </w:r>
          </w:p>
        </w:tc>
        <w:tc>
          <w:tcPr>
            <w:tcW w:w="51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  <w:lang w:eastAsia="zh-CN"/>
              </w:rPr>
              <w:t>履职情况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黑体" w:hAnsi="黑体" w:eastAsia="黑体"/>
                <w:kern w:val="0"/>
                <w:sz w:val="24"/>
                <w:szCs w:val="24"/>
              </w:rPr>
            </w:pPr>
          </w:p>
        </w:tc>
        <w:tc>
          <w:tcPr>
            <w:tcW w:w="2652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ascii="黑体" w:hAnsi="黑体" w:eastAsia="黑体"/>
                <w:kern w:val="0"/>
                <w:sz w:val="24"/>
                <w:szCs w:val="24"/>
              </w:rPr>
            </w:pP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满意</w:t>
            </w: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  <w:lang w:eastAsia="zh-CN"/>
              </w:rPr>
              <w:t>基本</w:t>
            </w: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满意</w:t>
            </w: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不满意</w:t>
            </w: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/>
                <w:kern w:val="0"/>
                <w:sz w:val="24"/>
                <w:szCs w:val="24"/>
              </w:rPr>
              <w:t>不了解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人民法院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执行局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发改局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招投标办（公共资源交易管理股）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审计局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桃江县建设投资审计中心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教育局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职业教育与成人教育股（民办教育股）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科工局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综合执法大队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公安局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治安管理大队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交警大队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事故处理中队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人社局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劳动监察局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劳动人事争议调解仲裁院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自然资源局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桃江县自然资源行政执法大队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矿产资源管理股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住建局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桃江建设工程质量安全监督站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桃江县燃气管理站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交通运输局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交通运输综合行政执法大队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交通建设质量安全监督站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水利局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水土保持站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水政监察大队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水利工程质量安全监督站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农业农村局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农业综合行政执法大队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商务局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市场体系建设股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文旅广体局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县文化市场行政综合执法大队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卫生健康局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桃江县疾控中心（卫生健康综合监督执法局）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应急局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非煤矿山和工贸行业安全监督管理股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危险化学品和烟花爆竹安全监督管理股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应急管理综合行政执法大队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城管执法局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桃江县城市管理综合执法大队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林业局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林业执法大队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市监局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食品生产安全监督管理股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桃江县市场监管综合行政执法大队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信用监督管理股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经济检查股（规范直销与打击传销办公室）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网络交易监督管理股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广告监督管理股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特殊食品安全监督管理股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药品和医疗器械安全监督管理股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特种设备安全监察股（县特种设备事故调查处理办公室）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食品流通安全监督管理股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餐饮服务安全监督管理股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医保局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桃江县医疗保障稽核中心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统计局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统计执法大队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税务局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税政股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生环分局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益阳市桃江生态环境保护综合行政执法大队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大气环境股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8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消防救援大队</w:t>
            </w:r>
          </w:p>
        </w:tc>
        <w:tc>
          <w:tcPr>
            <w:tcW w:w="265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  <w:t>防火监督室</w:t>
            </w:r>
          </w:p>
        </w:tc>
        <w:tc>
          <w:tcPr>
            <w:tcW w:w="11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37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2C3465C9"/>
    <w:rsid w:val="2C34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qFormat/>
    <w:uiPriority w:val="99"/>
    <w:pPr>
      <w:widowControl w:val="0"/>
      <w:spacing w:after="120"/>
      <w:ind w:left="200" w:leftChars="200"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zh-CN" w:eastAsia="zh-CN" w:bidi="ar-SA"/>
    </w:rPr>
  </w:style>
  <w:style w:type="paragraph" w:styleId="3">
    <w:name w:val="Body Text Indent"/>
    <w:qFormat/>
    <w:uiPriority w:val="99"/>
    <w:pPr>
      <w:widowControl w:val="0"/>
      <w:spacing w:after="120"/>
      <w:ind w:left="20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2023-08-30T08:54:00Z</dcterms:created>
  <dc:creator>黑得漂亮 </dc:creator>
  <cp:lastModifiedBy>黑得漂亮 </cp:lastModifiedBy>
  <dcterms:modified xsi:type="dcterms:W3CDTF">2023-08-30T08:55:15Z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39CD0F8A47064C6583DB6AE0D1417223_11</vt:lpwstr>
  </property>
</Properties>
</file>