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36"/>
        </w:rPr>
      </w:pPr>
      <w:r>
        <w:rPr>
          <w:rFonts w:hint="eastAsia" w:ascii="黑体" w:hAnsi="黑体" w:eastAsia="黑体" w:cs="黑体"/>
          <w:b/>
          <w:bCs/>
          <w:sz w:val="36"/>
          <w:szCs w:val="36"/>
        </w:rPr>
        <w:t>桃江县</w:t>
      </w:r>
      <w:r>
        <w:rPr>
          <w:rFonts w:hint="eastAsia" w:ascii="黑体" w:hAnsi="黑体" w:eastAsia="黑体" w:cs="黑体"/>
          <w:b/>
          <w:bCs/>
          <w:sz w:val="36"/>
          <w:szCs w:val="36"/>
          <w:lang w:val="en-US" w:eastAsia="zh-CN"/>
        </w:rPr>
        <w:t>沾溪镇中学维修</w:t>
      </w:r>
      <w:r>
        <w:rPr>
          <w:rFonts w:hint="eastAsia" w:ascii="黑体" w:hAnsi="黑体" w:eastAsia="黑体" w:cs="黑体"/>
          <w:b/>
          <w:bCs/>
          <w:sz w:val="36"/>
          <w:szCs w:val="36"/>
        </w:rPr>
        <w:t>项目支出绩效评价报告综述</w:t>
      </w:r>
    </w:p>
    <w:p>
      <w:pPr>
        <w:spacing w:line="440" w:lineRule="exact"/>
        <w:ind w:firstLine="640" w:firstLineChars="200"/>
        <w:rPr>
          <w:rFonts w:eastAsia="仿宋_GB2312"/>
          <w:sz w:val="32"/>
          <w:szCs w:val="32"/>
        </w:rPr>
      </w:pPr>
    </w:p>
    <w:p>
      <w:pPr>
        <w:spacing w:line="560" w:lineRule="exact"/>
        <w:ind w:firstLine="643" w:firstLineChars="200"/>
        <w:rPr>
          <w:rFonts w:hint="eastAsia" w:ascii="仿宋_GB2312" w:hAnsi="Calibri" w:eastAsia="仿宋_GB2312" w:cs="Times New Roman"/>
          <w:b/>
          <w:sz w:val="32"/>
          <w:szCs w:val="32"/>
        </w:rPr>
      </w:pPr>
      <w:r>
        <w:rPr>
          <w:rFonts w:hint="eastAsia" w:ascii="仿宋_GB2312" w:hAnsi="Calibri" w:eastAsia="仿宋_GB2312" w:cs="Times New Roman"/>
          <w:b/>
          <w:sz w:val="32"/>
          <w:szCs w:val="32"/>
        </w:rPr>
        <w:t>一、项目概况</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基本概况</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桃江县</w:t>
      </w:r>
      <w:r>
        <w:rPr>
          <w:rFonts w:hint="eastAsia" w:ascii="仿宋_GB2312" w:hAnsi="仿宋_GB2312" w:eastAsia="仿宋_GB2312" w:cs="仿宋_GB2312"/>
          <w:sz w:val="32"/>
          <w:szCs w:val="32"/>
          <w:lang w:val="en-US" w:eastAsia="zh-CN"/>
        </w:rPr>
        <w:t>沾溪镇中心学校</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全额事业单位</w:t>
      </w:r>
      <w:r>
        <w:rPr>
          <w:rFonts w:hint="eastAsia" w:ascii="仿宋_GB2312" w:hAnsi="仿宋_GB2312" w:eastAsia="仿宋_GB2312" w:cs="仿宋_GB2312"/>
          <w:sz w:val="32"/>
          <w:szCs w:val="32"/>
        </w:rPr>
        <w:t>，下设桃江县沾溪镇中心学校本级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桃江县沾溪镇中学，</w:t>
      </w:r>
      <w:r>
        <w:rPr>
          <w:rFonts w:hint="eastAsia" w:ascii="仿宋_GB2312" w:hAnsi="仿宋_GB2312" w:eastAsia="仿宋_GB2312" w:cs="仿宋_GB2312"/>
          <w:sz w:val="32"/>
          <w:szCs w:val="32"/>
        </w:rPr>
        <w:t>桃江县沾溪镇伍家洲中学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桃江县沾溪镇杉木村小学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桃江县沾溪镇贺家坪小学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桃江县沾溪镇太平小学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桃江县沾溪镇肖车塘小学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桃江县沾溪镇李家港小学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桃江县沾溪镇廖家坝小学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桃江县沾溪镇王家湾小学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桃江县沾溪镇中心幼儿园。中心学校本级下设校长室，办公室，教务处，总务处，政教处</w:t>
      </w:r>
      <w:r>
        <w:rPr>
          <w:rFonts w:hint="eastAsia" w:ascii="仿宋_GB2312" w:hAnsi="仿宋_GB2312" w:eastAsia="仿宋_GB2312" w:cs="仿宋_GB2312"/>
          <w:sz w:val="32"/>
          <w:szCs w:val="32"/>
          <w:lang w:val="en-US" w:eastAsia="zh-CN"/>
        </w:rPr>
        <w:t>,校车办,党建办。</w:t>
      </w:r>
      <w:r>
        <w:rPr>
          <w:rFonts w:hint="eastAsia" w:ascii="仿宋_GB2312" w:hAnsi="仿宋_GB2312" w:eastAsia="仿宋_GB2312" w:cs="仿宋_GB2312"/>
          <w:sz w:val="32"/>
          <w:szCs w:val="32"/>
        </w:rPr>
        <w:t>编办核定编制人数</w:t>
      </w:r>
      <w:r>
        <w:rPr>
          <w:rFonts w:hint="eastAsia" w:ascii="仿宋_GB2312" w:hAnsi="仿宋_GB2312" w:eastAsia="仿宋_GB2312" w:cs="仿宋_GB2312"/>
          <w:sz w:val="32"/>
          <w:szCs w:val="32"/>
          <w:lang w:val="en-US" w:eastAsia="zh-CN"/>
        </w:rPr>
        <w:t>159</w:t>
      </w:r>
      <w:r>
        <w:rPr>
          <w:rFonts w:hint="eastAsia" w:ascii="仿宋_GB2312" w:hAnsi="仿宋_GB2312" w:eastAsia="仿宋_GB2312" w:cs="仿宋_GB2312"/>
          <w:sz w:val="32"/>
          <w:szCs w:val="32"/>
        </w:rPr>
        <w:t>人，实有在职人数</w:t>
      </w:r>
      <w:r>
        <w:rPr>
          <w:rFonts w:hint="eastAsia" w:ascii="仿宋_GB2312" w:hAnsi="仿宋_GB2312" w:eastAsia="仿宋_GB2312" w:cs="仿宋_GB2312"/>
          <w:sz w:val="32"/>
          <w:szCs w:val="32"/>
          <w:lang w:val="en-US" w:eastAsia="zh-CN"/>
        </w:rPr>
        <w:t>159</w:t>
      </w:r>
      <w:r>
        <w:rPr>
          <w:rFonts w:hint="eastAsia" w:ascii="仿宋_GB2312" w:hAnsi="仿宋_GB2312" w:eastAsia="仿宋_GB2312" w:cs="仿宋_GB2312"/>
          <w:sz w:val="32"/>
          <w:szCs w:val="32"/>
        </w:rPr>
        <w:t>人，退休人员</w:t>
      </w:r>
      <w:r>
        <w:rPr>
          <w:rFonts w:hint="eastAsia" w:ascii="仿宋_GB2312" w:hAnsi="仿宋_GB2312" w:eastAsia="仿宋_GB2312" w:cs="仿宋_GB2312"/>
          <w:sz w:val="32"/>
          <w:szCs w:val="32"/>
          <w:lang w:val="en-US" w:eastAsia="zh-CN"/>
        </w:rPr>
        <w:t>110</w:t>
      </w:r>
      <w:r>
        <w:rPr>
          <w:rFonts w:hint="eastAsia" w:ascii="仿宋_GB2312" w:hAnsi="仿宋_GB2312" w:eastAsia="仿宋_GB2312" w:cs="仿宋_GB2312"/>
          <w:sz w:val="32"/>
          <w:szCs w:val="32"/>
        </w:rPr>
        <w:t>人。主要职责为：</w:t>
      </w:r>
      <w:r>
        <w:rPr>
          <w:rFonts w:hint="eastAsia" w:ascii="仿宋_GB2312" w:hAnsi="仿宋_GB2312" w:eastAsia="仿宋_GB2312" w:cs="仿宋_GB2312"/>
          <w:sz w:val="32"/>
          <w:szCs w:val="32"/>
          <w:lang w:val="en-US" w:eastAsia="zh-CN"/>
        </w:rPr>
        <w:t>1、组织实施教育有关法律法规。2、承担区域内义务教育教学和管理工作；3、学前教育阶段教育教学和学校管理工作。</w:t>
      </w:r>
    </w:p>
    <w:p>
      <w:pPr>
        <w:keepNext w:val="0"/>
        <w:keepLines w:val="0"/>
        <w:pageBreakBefore w:val="0"/>
        <w:numPr>
          <w:ilvl w:val="0"/>
          <w:numId w:val="1"/>
        </w:numPr>
        <w:kinsoku/>
        <w:wordWrap/>
        <w:overflowPunct/>
        <w:topLinePunct w:val="0"/>
        <w:autoSpaceDE/>
        <w:autoSpaceDN/>
        <w:bidi w:val="0"/>
        <w:adjustRightInd/>
        <w:snapToGrid/>
        <w:spacing w:line="300" w:lineRule="auto"/>
        <w:textAlignment w:val="auto"/>
        <w:rPr>
          <w:rFonts w:hint="eastAsia" w:ascii="仿宋_GB2312" w:hAnsi="仿宋_GB2312" w:eastAsia="仿宋_GB2312" w:cs="仿宋_GB2312"/>
          <w:sz w:val="32"/>
          <w:szCs w:val="32"/>
          <w:lang w:val="en-US" w:eastAsia="zh-CN"/>
        </w:rPr>
      </w:pPr>
      <w:r>
        <w:rPr>
          <w:rFonts w:hint="eastAsia" w:ascii="仿宋" w:hAnsi="仿宋" w:eastAsia="仿宋" w:cs="仿宋"/>
          <w:kern w:val="0"/>
          <w:sz w:val="32"/>
          <w:szCs w:val="32"/>
        </w:rPr>
        <w:t>项目基本情况</w:t>
      </w:r>
      <w:r>
        <w:rPr>
          <w:rFonts w:hint="eastAsia" w:ascii="仿宋" w:hAnsi="仿宋" w:eastAsia="仿宋" w:cs="仿宋"/>
          <w:kern w:val="0"/>
          <w:sz w:val="32"/>
          <w:szCs w:val="32"/>
          <w:lang w:eastAsia="zh-CN"/>
        </w:rPr>
        <w:t>。</w:t>
      </w:r>
    </w:p>
    <w:p>
      <w:pPr>
        <w:keepNext w:val="0"/>
        <w:keepLines w:val="0"/>
        <w:pageBreakBefore w:val="0"/>
        <w:numPr>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kern w:val="0"/>
          <w:sz w:val="32"/>
          <w:szCs w:val="32"/>
          <w:lang w:eastAsia="zh-CN"/>
        </w:rPr>
        <w:t>桃江县</w:t>
      </w:r>
      <w:r>
        <w:rPr>
          <w:rFonts w:hint="eastAsia" w:ascii="仿宋" w:hAnsi="仿宋" w:eastAsia="仿宋" w:cs="仿宋"/>
          <w:kern w:val="0"/>
          <w:sz w:val="32"/>
          <w:szCs w:val="32"/>
          <w:lang w:val="en-US" w:eastAsia="zh-CN"/>
        </w:rPr>
        <w:t>沾溪镇中学维修工程位于沾溪镇中学内，项目内容为学校教学楼维修，包括屋面和门窗维修，外墙及地面维修及下水管道维修。</w:t>
      </w:r>
      <w:r>
        <w:rPr>
          <w:rFonts w:hint="eastAsia" w:ascii="仿宋" w:hAnsi="仿宋" w:eastAsia="仿宋" w:cs="仿宋"/>
          <w:kern w:val="0"/>
          <w:sz w:val="32"/>
          <w:szCs w:val="32"/>
          <w:lang w:eastAsia="zh-CN"/>
        </w:rPr>
        <w:t>该项目</w:t>
      </w:r>
      <w:r>
        <w:rPr>
          <w:rFonts w:hint="eastAsia" w:ascii="仿宋" w:hAnsi="仿宋" w:eastAsia="仿宋" w:cs="仿宋"/>
          <w:kern w:val="0"/>
          <w:sz w:val="32"/>
          <w:szCs w:val="32"/>
          <w:lang w:val="en-US" w:eastAsia="zh-CN"/>
        </w:rPr>
        <w:t>2020年经桃江县发改局审批立项，</w:t>
      </w:r>
      <w:r>
        <w:rPr>
          <w:rFonts w:hint="eastAsia" w:ascii="仿宋" w:hAnsi="仿宋" w:eastAsia="仿宋" w:cs="仿宋"/>
          <w:kern w:val="0"/>
          <w:sz w:val="32"/>
          <w:szCs w:val="32"/>
          <w:lang w:eastAsia="zh-CN"/>
        </w:rPr>
        <w:t>总投资概算批复该项目</w:t>
      </w:r>
      <w:r>
        <w:rPr>
          <w:rFonts w:hint="eastAsia" w:ascii="仿宋" w:hAnsi="仿宋" w:eastAsia="仿宋" w:cs="仿宋"/>
          <w:kern w:val="0"/>
          <w:sz w:val="32"/>
          <w:szCs w:val="32"/>
          <w:lang w:val="en-US" w:eastAsia="zh-CN"/>
        </w:rPr>
        <w:t>2020年经桃江县发改局审批立项，</w:t>
      </w:r>
      <w:r>
        <w:rPr>
          <w:rFonts w:hint="eastAsia" w:ascii="仿宋" w:hAnsi="仿宋" w:eastAsia="仿宋" w:cs="仿宋"/>
          <w:kern w:val="0"/>
          <w:sz w:val="32"/>
          <w:szCs w:val="32"/>
          <w:lang w:eastAsia="zh-CN"/>
        </w:rPr>
        <w:t>总投资概算批复为</w:t>
      </w:r>
      <w:r>
        <w:rPr>
          <w:rFonts w:hint="eastAsia" w:ascii="仿宋" w:hAnsi="仿宋" w:eastAsia="仿宋" w:cs="仿宋"/>
          <w:kern w:val="0"/>
          <w:sz w:val="32"/>
          <w:szCs w:val="32"/>
          <w:lang w:val="en-US" w:eastAsia="zh-CN"/>
        </w:rPr>
        <w:t>154万元。</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rPr>
        <w:t>）项目绩效目标</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按时组织项目开工建设，严格按预算支出，管控好施工中的各种突发事件，监督好工程质量，加快工程进度，努力推进我校项目建设，争取完成全年的项目建设任务，按时完成项目工程，使其尽早服务于方大师生。</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3"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b/>
          <w:sz w:val="32"/>
          <w:szCs w:val="32"/>
        </w:rPr>
        <w:t>二、项目资金使用及管理情况分析</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（一）项目资金</w:t>
      </w:r>
      <w:r>
        <w:rPr>
          <w:rFonts w:hint="eastAsia" w:ascii="仿宋" w:hAnsi="仿宋" w:eastAsia="仿宋" w:cs="仿宋"/>
          <w:kern w:val="0"/>
          <w:sz w:val="32"/>
          <w:szCs w:val="32"/>
          <w:lang w:val="en-US" w:eastAsia="zh-CN"/>
        </w:rPr>
        <w:t>到位情况。根据2021年度工作安排，县财政局安排的建设项目专项建设资金154万元，已全部到位。</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项目组织实施情况</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资金使用过程中，</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紧紧围绕</w:t>
      </w:r>
      <w:r>
        <w:rPr>
          <w:rFonts w:hint="eastAsia" w:ascii="仿宋_GB2312" w:hAnsi="仿宋_GB2312" w:eastAsia="仿宋_GB2312" w:cs="仿宋_GB2312"/>
          <w:sz w:val="32"/>
          <w:szCs w:val="32"/>
          <w:lang w:val="en-US" w:eastAsia="zh-CN"/>
        </w:rPr>
        <w:t>县委县</w:t>
      </w:r>
      <w:r>
        <w:rPr>
          <w:rFonts w:hint="eastAsia" w:ascii="仿宋_GB2312" w:hAnsi="仿宋_GB2312" w:eastAsia="仿宋_GB2312" w:cs="仿宋_GB2312"/>
          <w:sz w:val="32"/>
          <w:szCs w:val="32"/>
        </w:rPr>
        <w:t>政府的中心工作，加强管理，使项目实施组织有序，质量标准较高，时间进度较快。主要体现在：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1、加强资金管理。对财政投入资金进行专户、专账、专人管理，厉行节约，专款专用。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2、加强项目责任管理。把工作任务责任到部门、责任到人，有效地加快了工作进度。</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3、加强质量监管，严把质量关，从材料，施工，监理层层把关。</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4、加强安全生产管理，杜绝施工中发生安全事故。</w:t>
      </w:r>
    </w:p>
    <w:p>
      <w:pPr>
        <w:spacing w:line="560" w:lineRule="exact"/>
        <w:ind w:firstLine="643" w:firstLineChars="200"/>
        <w:rPr>
          <w:rFonts w:hint="eastAsia" w:ascii="仿宋_GB2312" w:hAnsi="Calibri" w:eastAsia="仿宋_GB2312" w:cs="Times New Roman"/>
          <w:b/>
          <w:sz w:val="32"/>
          <w:szCs w:val="32"/>
        </w:rPr>
      </w:pPr>
      <w:r>
        <w:rPr>
          <w:rFonts w:hint="eastAsia" w:ascii="仿宋_GB2312" w:hAnsi="Calibri" w:eastAsia="仿宋_GB2312" w:cs="Times New Roman"/>
          <w:b/>
          <w:sz w:val="32"/>
          <w:szCs w:val="32"/>
        </w:rPr>
        <w:t>三、项目组织实施情况分析</w:t>
      </w:r>
    </w:p>
    <w:p>
      <w:pPr>
        <w:spacing w:line="594"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（一）项目组织实施情况</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2021年桥头河中学维修工程进行了公开招标，确定了施工单位，然事施工单位进场施工，目前项目全部完工，准备进行项目竣工验收。</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kern w:val="0"/>
          <w:sz w:val="32"/>
          <w:szCs w:val="32"/>
        </w:rPr>
        <w:t>（二）项目管理情况</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我校所有项目建设均按照有关规章制度和项目实施完成情况进行资金支付。所有建设资金由我校总务处为主管理，并根据相关要求建立台账。</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3" w:firstLineChars="200"/>
        <w:textAlignment w:val="auto"/>
        <w:rPr>
          <w:rFonts w:hint="eastAsia" w:ascii="仿宋_GB2312" w:hAnsi="仿宋_GB2312" w:eastAsia="仿宋_GB2312" w:cs="仿宋_GB2312"/>
          <w:sz w:val="32"/>
          <w:szCs w:val="32"/>
        </w:rPr>
      </w:pPr>
      <w:r>
        <w:rPr>
          <w:rFonts w:hint="eastAsia" w:ascii="仿宋_GB2312" w:hAnsi="Calibri" w:eastAsia="仿宋_GB2312" w:cs="Times New Roman"/>
          <w:b/>
          <w:sz w:val="32"/>
          <w:szCs w:val="32"/>
          <w:lang w:val="en-US" w:eastAsia="zh-CN"/>
        </w:rPr>
        <w:t>四、综合评价情况及评价结论</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紧紧围绕</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政府的中心工作，</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目标完成</w:t>
      </w:r>
      <w:r>
        <w:rPr>
          <w:rFonts w:hint="eastAsia" w:ascii="仿宋_GB2312" w:hAnsi="仿宋_GB2312" w:eastAsia="仿宋_GB2312" w:cs="仿宋_GB2312"/>
          <w:sz w:val="32"/>
          <w:szCs w:val="32"/>
          <w:lang w:eastAsia="zh-CN"/>
        </w:rPr>
        <w:t>情况良好</w:t>
      </w:r>
      <w:r>
        <w:rPr>
          <w:rFonts w:hint="eastAsia" w:ascii="仿宋_GB2312" w:hAnsi="仿宋_GB2312" w:eastAsia="仿宋_GB2312" w:cs="仿宋_GB2312"/>
          <w:sz w:val="32"/>
          <w:szCs w:val="32"/>
        </w:rPr>
        <w:t>，达到了预期的完满效果，自评</w:t>
      </w:r>
      <w:r>
        <w:rPr>
          <w:rFonts w:hint="eastAsia" w:ascii="仿宋_GB2312" w:hAnsi="仿宋_GB2312" w:eastAsia="仿宋_GB2312" w:cs="仿宋_GB2312"/>
          <w:sz w:val="32"/>
          <w:szCs w:val="32"/>
          <w:lang w:val="en-US" w:eastAsia="zh-CN"/>
        </w:rPr>
        <w:t>分为95分，</w:t>
      </w:r>
      <w:r>
        <w:rPr>
          <w:rFonts w:hint="eastAsia" w:ascii="仿宋_GB2312" w:hAnsi="仿宋_GB2312" w:eastAsia="仿宋_GB2312" w:cs="仿宋_GB2312"/>
          <w:sz w:val="32"/>
          <w:szCs w:val="32"/>
        </w:rPr>
        <w:t>自评情况为优秀</w:t>
      </w:r>
    </w:p>
    <w:p>
      <w:pPr>
        <w:spacing w:line="560" w:lineRule="exact"/>
        <w:ind w:firstLine="643" w:firstLineChars="200"/>
        <w:rPr>
          <w:rFonts w:hint="eastAsia" w:ascii="仿宋_GB2312" w:hAnsi="Calibri" w:eastAsia="仿宋_GB2312" w:cs="Times New Roman"/>
          <w:b/>
          <w:sz w:val="32"/>
          <w:szCs w:val="32"/>
        </w:rPr>
      </w:pPr>
      <w:r>
        <w:rPr>
          <w:rFonts w:hint="eastAsia" w:ascii="仿宋_GB2312" w:hAnsi="Calibri" w:eastAsia="仿宋_GB2312" w:cs="Times New Roman"/>
          <w:b/>
          <w:sz w:val="32"/>
          <w:szCs w:val="32"/>
          <w:lang w:val="en-US" w:eastAsia="zh-CN"/>
        </w:rPr>
        <w:t>五</w:t>
      </w:r>
      <w:r>
        <w:rPr>
          <w:rFonts w:hint="eastAsia" w:ascii="仿宋_GB2312" w:hAnsi="Calibri" w:eastAsia="仿宋_GB2312" w:cs="Times New Roman"/>
          <w:b/>
          <w:sz w:val="32"/>
          <w:szCs w:val="32"/>
        </w:rPr>
        <w:t>、绩效评价工作开展情况</w:t>
      </w:r>
    </w:p>
    <w:p>
      <w:pPr>
        <w:spacing w:line="594"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（一）绩效评价目的。</w:t>
      </w:r>
      <w:r>
        <w:rPr>
          <w:rFonts w:hint="eastAsia" w:ascii="仿宋" w:hAnsi="仿宋" w:eastAsia="仿宋" w:cs="仿宋"/>
          <w:kern w:val="0"/>
          <w:sz w:val="32"/>
          <w:szCs w:val="32"/>
          <w:lang w:val="en-US" w:eastAsia="zh-CN"/>
        </w:rPr>
        <w:t>对照年初确定的绩效目标各项任务，加强项目和资金管理，确保资金使用合理合法，努力推进项目建设，提高专项资金使用效率。</w:t>
      </w:r>
    </w:p>
    <w:p>
      <w:pPr>
        <w:spacing w:line="594"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（二）绩效评价结果。</w:t>
      </w:r>
      <w:r>
        <w:rPr>
          <w:rFonts w:hint="eastAsia" w:ascii="仿宋" w:hAnsi="仿宋" w:eastAsia="仿宋" w:cs="仿宋"/>
          <w:kern w:val="0"/>
          <w:sz w:val="32"/>
          <w:szCs w:val="32"/>
          <w:lang w:val="en-US" w:eastAsia="zh-CN"/>
        </w:rPr>
        <w:t>2021年我校项目专项支出绩效工作基本完成，达到了预期的效果，积极有效的推进了我校项目建设，为我县项目建设环境营造了良好的风气。</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eastAsia="zh-CN"/>
        </w:rPr>
      </w:pPr>
    </w:p>
    <w:p>
      <w:pPr>
        <w:spacing w:line="560" w:lineRule="exact"/>
        <w:ind w:firstLine="643" w:firstLineChars="200"/>
        <w:rPr>
          <w:rFonts w:hint="eastAsia" w:ascii="仿宋_GB2312" w:hAnsi="Calibri" w:eastAsia="仿宋_GB2312" w:cs="Times New Roman"/>
          <w:b/>
          <w:sz w:val="32"/>
          <w:szCs w:val="32"/>
          <w:lang w:val="en-US" w:eastAsia="zh-CN"/>
        </w:rPr>
      </w:pPr>
      <w:r>
        <w:rPr>
          <w:rFonts w:hint="eastAsia" w:ascii="仿宋_GB2312" w:hAnsi="Calibri" w:eastAsia="仿宋_GB2312" w:cs="Times New Roman"/>
          <w:b/>
          <w:sz w:val="32"/>
          <w:szCs w:val="32"/>
          <w:lang w:val="en-US" w:eastAsia="zh-CN"/>
        </w:rPr>
        <w:t>六、主要经验及做法、存在问题和建议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主要经验及做法</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项目相关</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rPr>
        <w:t>室精心组织、策划以及各相关单位的相互支持、密切配合，是保证此项目顺利开展的必要条件。</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成立了专门的项目工作小组，项目组按统一规划，建立集中统一，分级管理的运行机制，结合项目特点编制科学的管理办法或实施方案，完善和规范管理制度。</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项目负责人推进，各项工作责任到人、逐级审批、层层分管、环环相扣、各部门联动的管理机制，全力推进项目。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rPr>
        <w:t>在实施过程中规范管理到事前有设计规划、事中有监督检查、事后有跟踪问</w:t>
      </w:r>
      <w:r>
        <w:rPr>
          <w:rFonts w:hint="eastAsia" w:ascii="仿宋_GB2312" w:hAnsi="仿宋_GB2312" w:eastAsia="仿宋_GB2312" w:cs="仿宋_GB2312"/>
          <w:sz w:val="32"/>
          <w:szCs w:val="32"/>
          <w:lang w:val="en-US" w:eastAsia="zh-CN"/>
        </w:rPr>
        <w:t>责</w:t>
      </w:r>
      <w:bookmarkStart w:id="0" w:name="_GoBack"/>
      <w:bookmarkEnd w:id="0"/>
      <w:r>
        <w:rPr>
          <w:rFonts w:hint="eastAsia" w:ascii="仿宋_GB2312" w:hAnsi="仿宋_GB2312" w:eastAsia="仿宋_GB2312" w:cs="仿宋_GB2312"/>
          <w:sz w:val="32"/>
          <w:szCs w:val="32"/>
        </w:rPr>
        <w:t>，对工程质量严格把关，发挥完善的机制、严格管理、人性化的方式对项目完成的积极作用。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⑤</w:t>
      </w:r>
      <w:r>
        <w:rPr>
          <w:rFonts w:hint="eastAsia" w:ascii="仿宋_GB2312" w:hAnsi="仿宋_GB2312" w:eastAsia="仿宋_GB2312" w:cs="仿宋_GB2312"/>
          <w:sz w:val="32"/>
          <w:szCs w:val="32"/>
        </w:rPr>
        <w:t>在资金使用上严格按照规定执行，做到资金使用的安全规范，对项目经费实行专项管理，保证经费及时到位和合理使用。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存在的问题及原因分析</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项目绩效评价实施的第一年，各项制度措施不够完善，无具体的绩效指标值，在实际的绩效评价工作中无法精准把握，实施单位绩效评价工作有待提升。</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针对问题提出的建议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进一步强化措施，细化各项绩效指标，使其具有实用性和操作性。</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绩效评价结果应用建议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加强协调指导和培训的力度，加强对各部门申报项目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其他需要说明的问题</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79AF72"/>
    <w:multiLevelType w:val="singleLevel"/>
    <w:tmpl w:val="F879AF7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3D5C"/>
    <w:rsid w:val="16467264"/>
    <w:rsid w:val="196C2166"/>
    <w:rsid w:val="2A38247C"/>
    <w:rsid w:val="3D8D563A"/>
    <w:rsid w:val="50572EE5"/>
    <w:rsid w:val="595634C2"/>
    <w:rsid w:val="5CD72A90"/>
    <w:rsid w:val="5E214961"/>
    <w:rsid w:val="6BFB6F6E"/>
    <w:rsid w:val="702D234B"/>
    <w:rsid w:val="78E2734F"/>
    <w:rsid w:val="7CB555D4"/>
    <w:rsid w:val="7CD503DE"/>
    <w:rsid w:val="7DCC5E2F"/>
    <w:rsid w:val="7F4E1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uiPriority w:val="39"/>
  </w:style>
  <w:style w:type="paragraph" w:styleId="3">
    <w:name w:val="Body Text Indent"/>
    <w:basedOn w:val="1"/>
    <w:qFormat/>
    <w:uiPriority w:val="0"/>
    <w:pPr>
      <w:ind w:firstLine="720" w:firstLineChars="257"/>
    </w:pPr>
    <w:rPr>
      <w:kern w:val="0"/>
      <w:sz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2022-11-15T00:42:00Z</dcterms:created>
  <dc:creator>Lenovo</dc:creator>
  <cp:lastModifiedBy>Lenovo</cp:lastModifiedBy>
  <dcterms:modified xsi:type="dcterms:W3CDTF">2022-11-19T02:30:08Z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0269C3B877BB4E9ABC59CC5F5D2CAB1E</vt:lpwstr>
  </property>
</Properties>
</file>