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spacing w:line="20" w:lineRule="exact"/>
        <w:rPr>
          <w:rFonts w:ascii="Times New Roman" w:hAnsi="Times New Roman" w:eastAsia="仿宋_GB2312"/>
          <w:spacing w:val="-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关于《桃江县林木林地权属纠纷调处办法（征求意见稿）》征求意见建议公告</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为进一步建立健全我县林木、林地权属纠纷调处机制，公正、及时地处理林木、林地权属纠纷，维护当事人合法权益。</w:t>
      </w:r>
      <w:r>
        <w:rPr>
          <w:rFonts w:hint="default" w:ascii="Times New Roman" w:hAnsi="Times New Roman" w:eastAsia="仿宋_GB2312" w:cs="Times New Roman"/>
          <w:sz w:val="32"/>
          <w:szCs w:val="32"/>
          <w:lang w:val="en-US" w:eastAsia="zh-CN"/>
        </w:rPr>
        <w:t>我单位已修订《桃江县林木林地权属纠纷调处办法（征求意见稿）》，根据相关规定，现向社会公众征求意见，如有意见和建议，请于2022年9月23日前通过信函、邮件等方式书面反馈至桃江县山林纠纷调处中心（县林业局二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 系 人：廖胜强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联系方式：13549748615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电子邮箱：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"mailto:32814148@QQ.com" </w:instrText>
      </w:r>
      <w:r>
        <w:rPr>
          <w:rFonts w:hint="default" w:ascii="Times New Roman" w:hAnsi="Times New Roman" w:eastAsia="仿宋_GB2312" w:cs="Times New Roman"/>
          <w:color w:val="auto"/>
          <w:sz w:val="32"/>
          <w:szCs w:val="32"/>
          <w:lang w:val="en-US" w:eastAsia="zh-CN"/>
        </w:rPr>
        <w:fldChar w:fldCharType="separate"/>
      </w:r>
      <w:r>
        <w:rPr>
          <w:rStyle w:val="7"/>
          <w:rFonts w:hint="default" w:ascii="Times New Roman" w:hAnsi="Times New Roman" w:eastAsia="仿宋_GB2312" w:cs="Times New Roman"/>
          <w:color w:val="auto"/>
          <w:sz w:val="32"/>
          <w:szCs w:val="32"/>
          <w:lang w:val="en-US" w:eastAsia="zh-CN"/>
        </w:rPr>
        <w:t>1943394230@qq.com</w:t>
      </w:r>
      <w:r>
        <w:rPr>
          <w:rFonts w:hint="default" w:ascii="Times New Roman" w:hAnsi="Times New Roman" w:eastAsia="仿宋_GB2312" w:cs="Times New Roman"/>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通信地址：桃花江镇桃花东路103号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附件：《桃江县林木林地权属纠纷调处办法》（征求意见稿）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5760" w:firstLineChars="18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桃江县林业局</w:t>
      </w:r>
    </w:p>
    <w:p>
      <w:pPr>
        <w:keepNext w:val="0"/>
        <w:keepLines w:val="0"/>
        <w:pageBreakBefore w:val="0"/>
        <w:widowControl w:val="0"/>
        <w:kinsoku/>
        <w:wordWrap/>
        <w:overflowPunct/>
        <w:topLinePunct w:val="0"/>
        <w:autoSpaceDE/>
        <w:autoSpaceDN/>
        <w:bidi w:val="0"/>
        <w:adjustRightInd/>
        <w:snapToGrid/>
        <w:ind w:firstLine="5440" w:firstLineChars="1700"/>
        <w:textAlignment w:val="auto"/>
        <w:outlineLvl w:val="9"/>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start="2"/>
          <w:cols w:space="425" w:num="1"/>
          <w:docGrid w:type="lines" w:linePitch="312" w:charSpace="0"/>
        </w:sectPr>
      </w:pPr>
      <w:r>
        <w:rPr>
          <w:rFonts w:hint="default" w:ascii="Times New Roman" w:hAnsi="Times New Roman" w:eastAsia="仿宋_GB2312" w:cs="Times New Roman"/>
          <w:sz w:val="32"/>
          <w:szCs w:val="32"/>
          <w:lang w:val="en-US" w:eastAsia="zh-CN"/>
        </w:rPr>
        <w:t>2022年9月15日</w:t>
      </w:r>
    </w:p>
    <w:p>
      <w:pPr>
        <w:spacing w:line="360" w:lineRule="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附件：</w:t>
      </w:r>
    </w:p>
    <w:p>
      <w:pPr>
        <w:spacing w:line="360" w:lineRule="auto"/>
        <w:ind w:firstLine="880" w:firstLineChars="20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桃江县林木林地权属纠纷调处办法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征求意见稿</w:t>
      </w:r>
      <w:r>
        <w:rPr>
          <w:rFonts w:hint="eastAsia" w:ascii="楷体_GB2312" w:hAnsi="楷体_GB2312" w:eastAsia="楷体_GB2312" w:cs="楷体_GB2312"/>
          <w:b/>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为进一步建立健全我县林木、林地权属纠纷调处机制，公正、及时</w:t>
      </w:r>
      <w:r>
        <w:rPr>
          <w:rFonts w:hint="eastAsia" w:ascii="Times New Roman" w:hAnsi="Times New Roman" w:eastAsia="仿宋_GB2312" w:cs="Times New Roman"/>
          <w:kern w:val="0"/>
          <w:sz w:val="32"/>
          <w:szCs w:val="32"/>
          <w:lang w:val="en-US" w:eastAsia="zh-CN"/>
        </w:rPr>
        <w:t>地</w:t>
      </w:r>
      <w:r>
        <w:rPr>
          <w:rFonts w:hint="default" w:ascii="Times New Roman" w:hAnsi="Times New Roman" w:eastAsia="仿宋_GB2312" w:cs="Times New Roman"/>
          <w:kern w:val="0"/>
          <w:sz w:val="32"/>
          <w:szCs w:val="32"/>
        </w:rPr>
        <w:t>处理林木、林地权属纠纷</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维护当事人合法权益</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保障社会安定团结</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促进生态文明建设</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根据《中华人民共和国森林法》《林木林地权属争议处理办法》《湖南省行政程序规定》《湖南省林木、林地权属争议处理办法》</w:t>
      </w:r>
      <w:r>
        <w:rPr>
          <w:rFonts w:hint="eastAsia" w:ascii="Times New Roman" w:hAnsi="Times New Roman" w:eastAsia="仿宋_GB2312" w:cs="Times New Roman"/>
          <w:kern w:val="0"/>
          <w:sz w:val="32"/>
          <w:szCs w:val="32"/>
          <w:lang w:val="en-US" w:eastAsia="zh-CN"/>
        </w:rPr>
        <w:t>等</w:t>
      </w:r>
      <w:r>
        <w:rPr>
          <w:rFonts w:hint="default" w:ascii="Times New Roman" w:hAnsi="Times New Roman" w:eastAsia="仿宋_GB2312" w:cs="Times New Roman"/>
          <w:kern w:val="0"/>
          <w:sz w:val="32"/>
          <w:szCs w:val="32"/>
        </w:rPr>
        <w:t>相关法律法规，结合我县实际，制定本办法。</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一、指导原则</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坚持“首问负责、分级管理、上下联动、职责明确、依法处理”的原则</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县、乡（镇）、村三级密切配合，尊重历史和现实情况</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依法处理本县区域内林木、</w:t>
      </w:r>
      <w:bookmarkStart w:id="0" w:name="OLE_LINK2"/>
      <w:bookmarkStart w:id="1" w:name="OLE_LINK1"/>
      <w:r>
        <w:rPr>
          <w:rFonts w:hint="default" w:ascii="Times New Roman" w:hAnsi="Times New Roman" w:eastAsia="仿宋_GB2312" w:cs="Times New Roman"/>
          <w:kern w:val="0"/>
          <w:sz w:val="32"/>
          <w:szCs w:val="32"/>
        </w:rPr>
        <w:t>林地权属纠纷</w:t>
      </w:r>
      <w:bookmarkEnd w:id="0"/>
      <w:bookmarkEnd w:id="1"/>
      <w:r>
        <w:rPr>
          <w:rFonts w:hint="default" w:ascii="Times New Roman" w:hAnsi="Times New Roman" w:eastAsia="仿宋_GB2312" w:cs="Times New Roman"/>
          <w:kern w:val="0"/>
          <w:sz w:val="32"/>
          <w:szCs w:val="32"/>
        </w:rPr>
        <w:t>，维护我县社会稳定和生态安全。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黑体" w:hAnsi="黑体" w:eastAsia="黑体" w:cs="黑体"/>
          <w:b w:val="0"/>
          <w:bCs/>
          <w:kern w:val="0"/>
          <w:sz w:val="32"/>
          <w:szCs w:val="32"/>
        </w:rPr>
      </w:pPr>
      <w:r>
        <w:rPr>
          <w:rFonts w:hint="default" w:ascii="黑体" w:hAnsi="黑体" w:eastAsia="黑体" w:cs="黑体"/>
          <w:b w:val="0"/>
          <w:bCs/>
          <w:kern w:val="0"/>
          <w:sz w:val="32"/>
          <w:szCs w:val="32"/>
        </w:rPr>
        <w:t>二、组织机构及工作职责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（一）县司法局(县法制办)。负责组织协调、督促指导全县林木、林地权属纠纷调处工作；审查县人民政府作出的林木、林地权属纠纷行政处理决定</w:t>
      </w:r>
      <w:bookmarkStart w:id="2" w:name="OLE_LINK9"/>
      <w:bookmarkStart w:id="3" w:name="OLE_LINK8"/>
      <w:r>
        <w:rPr>
          <w:rFonts w:hint="default" w:ascii="Times New Roman" w:hAnsi="Times New Roman" w:eastAsia="仿宋_GB2312" w:cs="Times New Roman"/>
          <w:kern w:val="0"/>
          <w:sz w:val="32"/>
          <w:szCs w:val="32"/>
        </w:rPr>
        <w:t>；</w:t>
      </w:r>
      <w:bookmarkEnd w:id="2"/>
      <w:bookmarkEnd w:id="3"/>
      <w:r>
        <w:rPr>
          <w:rFonts w:hint="default" w:ascii="Times New Roman" w:hAnsi="Times New Roman" w:eastAsia="仿宋_GB2312" w:cs="Times New Roman"/>
          <w:kern w:val="0"/>
          <w:sz w:val="32"/>
          <w:szCs w:val="32"/>
        </w:rPr>
        <w:t>指导县山林纠纷调处中心处理林木、林地权属纠纷；会同县山林纠纷调处中心开展林木、林地权属纠纷调处业务培训。</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（二）县自然资源局。会同县山林纠纷调处中心负责跨乡镇的</w:t>
      </w:r>
      <w:bookmarkStart w:id="4" w:name="OLE_LINK10"/>
      <w:bookmarkStart w:id="5" w:name="OLE_LINK11"/>
      <w:r>
        <w:rPr>
          <w:rFonts w:hint="default" w:ascii="Times New Roman" w:hAnsi="Times New Roman" w:eastAsia="仿宋_GB2312" w:cs="Times New Roman"/>
          <w:kern w:val="0"/>
          <w:sz w:val="32"/>
          <w:szCs w:val="32"/>
        </w:rPr>
        <w:t>林木、林地权属纠纷</w:t>
      </w:r>
      <w:bookmarkEnd w:id="4"/>
      <w:bookmarkEnd w:id="5"/>
      <w:r>
        <w:rPr>
          <w:rFonts w:hint="default" w:ascii="Times New Roman" w:hAnsi="Times New Roman" w:eastAsia="仿宋_GB2312" w:cs="Times New Roman"/>
          <w:kern w:val="0"/>
          <w:sz w:val="32"/>
          <w:szCs w:val="32"/>
        </w:rPr>
        <w:t>或集体与集体之间林木、林地权属纠纷的调查和处理；林木、林地权属纠纷解决后</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根据协议书、调解书、处理决定书或人民法院的判决书、裁定书</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核发林木、林地权属证书。</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（三）县山林纠纷调处</w:t>
      </w:r>
      <w:bookmarkStart w:id="6" w:name="OLE_LINK4"/>
      <w:bookmarkStart w:id="7" w:name="OLE_LINK3"/>
      <w:r>
        <w:rPr>
          <w:rFonts w:hint="default" w:ascii="Times New Roman" w:hAnsi="Times New Roman" w:eastAsia="仿宋_GB2312" w:cs="Times New Roman"/>
          <w:kern w:val="0"/>
          <w:sz w:val="32"/>
          <w:szCs w:val="32"/>
        </w:rPr>
        <w:t>中心</w:t>
      </w:r>
      <w:bookmarkEnd w:id="6"/>
      <w:bookmarkEnd w:id="7"/>
      <w:r>
        <w:rPr>
          <w:rFonts w:hint="default" w:ascii="Times New Roman" w:hAnsi="Times New Roman" w:eastAsia="仿宋_GB2312" w:cs="Times New Roman"/>
          <w:kern w:val="0"/>
          <w:sz w:val="32"/>
          <w:szCs w:val="32"/>
        </w:rPr>
        <w:t>（以下简称县山纠中心）。负责跨乡镇的林木、林地权属纠纷或集体与集体之间林木、林地权属纠纷的调查和处理；指导乡</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镇</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山林纠纷调处办公室</w:t>
      </w:r>
      <w:r>
        <w:rPr>
          <w:rFonts w:hint="default" w:ascii="Times New Roman" w:hAnsi="Times New Roman" w:eastAsia="仿宋_GB2312" w:cs="Times New Roman"/>
          <w:kern w:val="0"/>
          <w:sz w:val="32"/>
          <w:szCs w:val="32"/>
        </w:rPr>
        <w:t>受理、调查、调解林木、林地权属纠纷。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bookmarkStart w:id="8" w:name="OLE_LINK7"/>
      <w:r>
        <w:rPr>
          <w:rFonts w:hint="default" w:ascii="Times New Roman" w:hAnsi="Times New Roman" w:eastAsia="仿宋_GB2312" w:cs="Times New Roman"/>
          <w:kern w:val="0"/>
          <w:sz w:val="32"/>
          <w:szCs w:val="32"/>
        </w:rPr>
        <w:t>乡（镇）山林纠纷调处办公室</w:t>
      </w:r>
      <w:bookmarkEnd w:id="8"/>
      <w:r>
        <w:rPr>
          <w:rFonts w:hint="default" w:ascii="Times New Roman" w:hAnsi="Times New Roman" w:eastAsia="仿宋_GB2312" w:cs="Times New Roman"/>
          <w:kern w:val="0"/>
          <w:sz w:val="32"/>
          <w:szCs w:val="32"/>
        </w:rPr>
        <w:t>（以下简称乡（镇）山纠办）。乡（镇）山纠办由各乡（镇）长负总责，分管林业的副乡</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镇</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长为办公室主任，办公室成员由农业综合服务中心、社会治安和应急管理办公室、自然资源和生态环境办公室、</w:t>
      </w:r>
      <w:bookmarkStart w:id="9" w:name="OLE_LINK6"/>
      <w:bookmarkStart w:id="10" w:name="OLE_LINK5"/>
      <w:r>
        <w:rPr>
          <w:rFonts w:hint="default" w:ascii="Times New Roman" w:hAnsi="Times New Roman" w:eastAsia="仿宋_GB2312" w:cs="Times New Roman"/>
          <w:kern w:val="0"/>
          <w:sz w:val="32"/>
          <w:szCs w:val="32"/>
        </w:rPr>
        <w:t>乡镇经济发展办公室</w:t>
      </w:r>
      <w:bookmarkEnd w:id="9"/>
      <w:bookmarkEnd w:id="10"/>
      <w:r>
        <w:rPr>
          <w:rFonts w:hint="default" w:ascii="Times New Roman" w:hAnsi="Times New Roman" w:eastAsia="仿宋_GB2312" w:cs="Times New Roman"/>
          <w:kern w:val="0"/>
          <w:sz w:val="32"/>
          <w:szCs w:val="32"/>
        </w:rPr>
        <w:t>、司法所等单位负责人组成。办公室设农业综合服务中心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加挂乡（镇）林木、林地权属纠纷调处办公室牌子。乡</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镇</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山纠办按照属地管理的原则，负责本辖区内的林木、林地权属纠纷的受理、调查、勘验、调解等工作，并</w:t>
      </w:r>
      <w:r>
        <w:rPr>
          <w:rFonts w:hint="eastAsia" w:ascii="Times New Roman" w:hAnsi="Times New Roman" w:eastAsia="仿宋_GB2312" w:cs="Times New Roman"/>
          <w:kern w:val="0"/>
          <w:sz w:val="32"/>
          <w:szCs w:val="32"/>
          <w:lang w:val="en-US" w:eastAsia="zh-CN"/>
        </w:rPr>
        <w:t>经</w:t>
      </w:r>
      <w:r>
        <w:rPr>
          <w:rFonts w:hint="default" w:ascii="Times New Roman" w:hAnsi="Times New Roman" w:eastAsia="仿宋_GB2312" w:cs="Times New Roman"/>
          <w:kern w:val="0"/>
          <w:sz w:val="32"/>
          <w:szCs w:val="32"/>
        </w:rPr>
        <w:t>协商</w:t>
      </w:r>
      <w:r>
        <w:rPr>
          <w:rFonts w:hint="eastAsia" w:ascii="Times New Roman" w:hAnsi="Times New Roman" w:eastAsia="仿宋_GB2312" w:cs="Times New Roman"/>
          <w:kern w:val="0"/>
          <w:sz w:val="32"/>
          <w:szCs w:val="32"/>
          <w:lang w:val="en-US" w:eastAsia="zh-CN"/>
        </w:rPr>
        <w:t>形成</w:t>
      </w:r>
      <w:r>
        <w:rPr>
          <w:rFonts w:hint="default" w:ascii="Times New Roman" w:hAnsi="Times New Roman" w:eastAsia="仿宋_GB2312" w:cs="Times New Roman"/>
          <w:kern w:val="0"/>
          <w:sz w:val="32"/>
          <w:szCs w:val="32"/>
        </w:rPr>
        <w:t>调解意见；依法对个人与个人、个人与集体之间的林木、林地</w:t>
      </w:r>
      <w:r>
        <w:rPr>
          <w:rFonts w:hint="eastAsia" w:ascii="Times New Roman" w:hAnsi="Times New Roman" w:eastAsia="仿宋_GB2312" w:cs="Times New Roman"/>
          <w:kern w:val="0"/>
          <w:sz w:val="32"/>
          <w:szCs w:val="32"/>
          <w:lang w:val="en-US" w:eastAsia="zh-CN"/>
        </w:rPr>
        <w:t>权属纠纷</w:t>
      </w:r>
      <w:r>
        <w:rPr>
          <w:rFonts w:hint="default" w:ascii="Times New Roman" w:hAnsi="Times New Roman" w:eastAsia="仿宋_GB2312" w:cs="Times New Roman"/>
          <w:kern w:val="0"/>
          <w:sz w:val="32"/>
          <w:szCs w:val="32"/>
        </w:rPr>
        <w:t>作出处理决定；指导村山</w:t>
      </w:r>
      <w:r>
        <w:rPr>
          <w:rFonts w:hint="eastAsia" w:ascii="Times New Roman" w:hAnsi="Times New Roman" w:eastAsia="仿宋_GB2312" w:cs="Times New Roman"/>
          <w:kern w:val="0"/>
          <w:sz w:val="32"/>
          <w:szCs w:val="32"/>
          <w:lang w:val="en-US" w:eastAsia="zh-CN"/>
        </w:rPr>
        <w:t>林纠纷</w:t>
      </w:r>
      <w:r>
        <w:rPr>
          <w:rFonts w:hint="default" w:ascii="Times New Roman" w:hAnsi="Times New Roman" w:eastAsia="仿宋_GB2312" w:cs="Times New Roman"/>
          <w:kern w:val="0"/>
          <w:sz w:val="32"/>
          <w:szCs w:val="32"/>
        </w:rPr>
        <w:t>调处小组制作调解协议。对无权办理的林木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林地权属纠纷，由乡（镇）山纠办查清基本情况，形成处理意见上报县山纠中心。</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各村山林纠纷调处小组（以下简称村山纠调处小组）。归乡（镇）山纠办管理指导。村山纠调处小组由村委主任、分管林业与综治的村干部及老党员或老村干部各一名组成。负责本行政村的林木、林地权属纠纷调处并</w:t>
      </w:r>
      <w:r>
        <w:rPr>
          <w:rFonts w:hint="eastAsia" w:ascii="Times New Roman" w:hAnsi="Times New Roman" w:eastAsia="仿宋_GB2312" w:cs="Times New Roman"/>
          <w:kern w:val="0"/>
          <w:sz w:val="32"/>
          <w:szCs w:val="32"/>
          <w:lang w:val="en-US" w:eastAsia="zh-CN"/>
        </w:rPr>
        <w:t>经</w:t>
      </w:r>
      <w:r>
        <w:rPr>
          <w:rFonts w:hint="default" w:ascii="Times New Roman" w:hAnsi="Times New Roman" w:eastAsia="仿宋_GB2312" w:cs="Times New Roman"/>
          <w:kern w:val="0"/>
          <w:sz w:val="32"/>
          <w:szCs w:val="32"/>
        </w:rPr>
        <w:t>协商</w:t>
      </w:r>
      <w:r>
        <w:rPr>
          <w:rFonts w:hint="eastAsia" w:ascii="Times New Roman" w:hAnsi="Times New Roman" w:eastAsia="仿宋_GB2312" w:cs="Times New Roman"/>
          <w:kern w:val="0"/>
          <w:sz w:val="32"/>
          <w:szCs w:val="32"/>
          <w:lang w:val="en-US" w:eastAsia="zh-CN"/>
        </w:rPr>
        <w:t>形成</w:t>
      </w:r>
      <w:r>
        <w:rPr>
          <w:rFonts w:hint="default" w:ascii="Times New Roman" w:hAnsi="Times New Roman" w:eastAsia="仿宋_GB2312" w:cs="Times New Roman"/>
          <w:kern w:val="0"/>
          <w:sz w:val="32"/>
          <w:szCs w:val="32"/>
        </w:rPr>
        <w:t>调解意见，促使争议双方达成调解协议。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黑体" w:hAnsi="黑体" w:eastAsia="黑体" w:cs="黑体"/>
          <w:b w:val="0"/>
          <w:bCs/>
          <w:kern w:val="0"/>
          <w:sz w:val="32"/>
          <w:szCs w:val="32"/>
        </w:rPr>
      </w:pPr>
      <w:r>
        <w:rPr>
          <w:rFonts w:hint="default" w:ascii="黑体" w:hAnsi="黑体" w:eastAsia="黑体" w:cs="黑体"/>
          <w:b w:val="0"/>
          <w:bCs/>
          <w:kern w:val="0"/>
          <w:sz w:val="32"/>
          <w:szCs w:val="32"/>
        </w:rPr>
        <w:t>三、林木林地权属纠纷调处原则</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rPr>
        <w:t>（一）林木林地权属纠纷的受理与不予受理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1、林木林地权属纠纷符合下列条件的，应予以受理。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①申请人与争议林木林地有利害关系。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②有明确的被申请人和请求事项。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③有权属凭证和事实依据。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2、林木林地权属纠纷有下列情形之一的，应不予受理。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①双方当事人经村委会组织调解达成书面协议的。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②已经当事人所在地人民政府或者共同的上一级人民政府依法调解达成书面协议或者依法作出处理决定的。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③人民法院已受理或者已作出裁定、判决和调解结案的。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④属于林木林地流转过程中发生的承包经营权、处置权、收益权等纠纷的。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⑤属于林木林地侵权行为的。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⑥无法提供林木林地权属凭证的。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⑦法律、法规规定的其他情形。</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rPr>
        <w:t>（二）林木、林地权属纠纷的调处程序</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bookmarkStart w:id="11" w:name="_GoBack"/>
      <w:r>
        <w:rPr>
          <w:rFonts w:hint="default" w:ascii="Times New Roman" w:hAnsi="Times New Roman" w:eastAsia="仿宋_GB2312" w:cs="Times New Roman"/>
          <w:kern w:val="0"/>
          <w:sz w:val="32"/>
          <w:szCs w:val="32"/>
        </w:rPr>
        <w:t>林木、林地权属纠纷调处流程图</w:t>
      </w:r>
    </w:p>
    <w:bookmarkEnd w:id="11"/>
    <w:p>
      <w:pPr>
        <w:keepNext w:val="0"/>
        <w:keepLines w:val="0"/>
        <w:pageBreakBefore w:val="0"/>
        <w:widowControl w:val="0"/>
        <w:tabs>
          <w:tab w:val="left" w:pos="6540"/>
          <w:tab w:val="right" w:pos="8900"/>
        </w:tabs>
        <w:kinsoku/>
        <w:wordWrap/>
        <w:overflowPunct/>
        <w:topLinePunct w:val="0"/>
        <w:autoSpaceDE/>
        <w:autoSpaceDN/>
        <w:bidi w:val="0"/>
        <w:adjustRightInd/>
        <w:snapToGrid/>
        <w:spacing w:line="360" w:lineRule="auto"/>
        <w:ind w:firstLine="0" w:firstLineChars="0"/>
        <w:jc w:val="center"/>
        <w:textAlignment w:val="auto"/>
        <w:outlineLvl w:val="9"/>
        <w:rPr>
          <w:rFonts w:ascii="宋体" w:hAnsi="宋体" w:eastAsia="宋体" w:cs="宋体"/>
          <w:kern w:val="0"/>
          <w:sz w:val="28"/>
          <w:szCs w:val="28"/>
        </w:rPr>
      </w:pPr>
      <w:r>
        <w:rPr>
          <w:rFonts w:ascii="宋体" w:hAnsi="宋体" w:eastAsia="宋体" w:cs="宋体"/>
          <w:kern w:val="0"/>
          <w:sz w:val="28"/>
          <w:szCs w:val="28"/>
        </w:rPr>
        <w:drawing>
          <wp:inline distT="0" distB="0" distL="0" distR="0">
            <wp:extent cx="5238750" cy="2899410"/>
            <wp:effectExtent l="0" t="0" r="0" b="15240"/>
            <wp:docPr id="1" name="图片 1" descr="http://www.taojiang.gov.cn/uploadfiles/jcms/jcms_files/jcms1/web1/site/picture/0/1408131746045872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taojiang.gov.cn/uploadfiles/jcms/jcms_files/jcms1/web1/site/picture/0/1408131746045872204.jpg"/>
                    <pic:cNvPicPr>
                      <a:picLocks noChangeAspect="1" noChangeArrowheads="1"/>
                    </pic:cNvPicPr>
                  </pic:nvPicPr>
                  <pic:blipFill>
                    <a:blip r:embed="rId6" cstate="print"/>
                    <a:srcRect/>
                    <a:stretch>
                      <a:fillRect/>
                    </a:stretch>
                  </pic:blipFill>
                  <pic:spPr>
                    <a:xfrm>
                      <a:off x="0" y="0"/>
                      <a:ext cx="5238750" cy="2899410"/>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发生林木、林地权属纠纷，各调处机构要采取有效措施，防止事态扩大，及时组织协调。经协调双方达成协议的应制作协议书、调解书，协议书、调解书应载明争议地“四至”及面积，并附争议地位置示意图，由双方当事人签名或盖章。</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rPr>
        <w:t>（三）林木林地纠纷调处时限</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rPr>
        <w:t>1、</w:t>
      </w:r>
      <w:r>
        <w:rPr>
          <w:rFonts w:hint="default" w:ascii="Times New Roman" w:hAnsi="Times New Roman" w:eastAsia="仿宋_GB2312" w:cs="Times New Roman"/>
          <w:kern w:val="0"/>
          <w:sz w:val="32"/>
          <w:szCs w:val="32"/>
        </w:rPr>
        <w:t>乡镇山纠办或县山纠中心接到山林纠纷调处申请后，应在5日内审查完毕，对符合受理条件的，应予以受理，并自受理之日起7日内立案，将申请书副本及相关告知材料发送给被申请人，被申请人应当自收到申请书副本之日起10日内，提出书面答辩并提交有关证据材料；对不符合受理条件的，应作出不予受理的决定，书面告知申请人，并说明理由。</w:t>
      </w:r>
      <w:r>
        <w:rPr>
          <w:rFonts w:hint="eastAsia" w:ascii="Times New Roman" w:hAnsi="Times New Roman" w:eastAsia="仿宋_GB2312" w:cs="Times New Roman"/>
          <w:kern w:val="0"/>
          <w:sz w:val="32"/>
          <w:szCs w:val="32"/>
          <w:lang w:val="en-US" w:eastAsia="zh-CN"/>
        </w:rPr>
        <w:t>申请人和被申请人</w:t>
      </w:r>
      <w:r>
        <w:rPr>
          <w:rFonts w:hint="default" w:ascii="Times New Roman" w:hAnsi="Times New Roman" w:eastAsia="仿宋_GB2312" w:cs="Times New Roman"/>
          <w:kern w:val="0"/>
          <w:sz w:val="32"/>
          <w:szCs w:val="32"/>
        </w:rPr>
        <w:t>对自己提出的权属主张，应在规定期限内，提供有关证据。因正当事由无法按期提供证据的，经乡</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镇</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山纠办或县山纠中心同意，可延期提供。逾期未提供证据的，视为主动放弃举证权利。</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2、村山纠调处小组调解未果的林木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林地权属纠纷，乡</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镇</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山纠办应积极受理，并在受理之日起60日内调解完毕。经调解未达成协议的，对个人之间、个人与小组之间或个人与村集体之间的林木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由乡镇人民政府在调解期满之日起30日内依法作出行政处理决定；对集体与集体之间的山林纠纷，必须由乡镇人民政府形成书面调解意见，由申请人在调解期满之日起5日内连同书面申请和相关证据材料向县山纠中心申请依法处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3、县山纠中心在接到乡镇人民政府调解意见书或申请报告后，应积极受理，并在受理之日起60日内调解完毕。经调解未达成协议的，由县山纠中心提出案件处理意见，连同案件相关证据材料移送县司法局审查。</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因情况复杂，不能在规定期限内作出处理决定的，经</w:t>
      </w:r>
      <w:r>
        <w:rPr>
          <w:rFonts w:hint="eastAsia" w:ascii="Times New Roman" w:hAnsi="Times New Roman" w:eastAsia="仿宋_GB2312" w:cs="Times New Roman"/>
          <w:kern w:val="0"/>
          <w:sz w:val="32"/>
          <w:szCs w:val="32"/>
          <w:lang w:val="en-US" w:eastAsia="zh-CN"/>
        </w:rPr>
        <w:t>县山纠中心</w:t>
      </w:r>
      <w:r>
        <w:rPr>
          <w:rFonts w:hint="default" w:ascii="Times New Roman" w:hAnsi="Times New Roman" w:eastAsia="仿宋_GB2312" w:cs="Times New Roman"/>
          <w:kern w:val="0"/>
          <w:sz w:val="32"/>
          <w:szCs w:val="32"/>
        </w:rPr>
        <w:t>主要负责人批准，可适当延期，期限不得超过30日，并将延期决定及理由书面告知当事人。</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黑体" w:hAnsi="黑体" w:eastAsia="黑体" w:cs="黑体"/>
          <w:b w:val="0"/>
          <w:bCs/>
          <w:kern w:val="0"/>
          <w:sz w:val="32"/>
          <w:szCs w:val="32"/>
        </w:rPr>
      </w:pPr>
      <w:r>
        <w:rPr>
          <w:rFonts w:hint="default" w:ascii="黑体" w:hAnsi="黑体" w:eastAsia="黑体" w:cs="黑体"/>
          <w:b w:val="0"/>
          <w:bCs/>
          <w:kern w:val="0"/>
          <w:sz w:val="32"/>
          <w:szCs w:val="32"/>
        </w:rPr>
        <w:t>四、问责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各林木、林地权属纠纷调处单位要严格按照法定程序办理林木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林地权属争议案件，处理时限和处理决定要符合《湖南省行政程序规定》的要求。调处林木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林地权属纠纷工作有下列情形之一的，依法追究相关责任人员的责任：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（一）伪造、涂改、销毁林木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林地权属证据，故意制造林木、林地权属争议的，</w:t>
      </w:r>
      <w:r>
        <w:rPr>
          <w:rFonts w:hint="eastAsia" w:ascii="Times New Roman" w:hAnsi="Times New Roman" w:eastAsia="仿宋_GB2312" w:cs="Times New Roman"/>
          <w:kern w:val="0"/>
          <w:sz w:val="32"/>
          <w:szCs w:val="32"/>
          <w:lang w:val="en-US" w:eastAsia="zh-CN"/>
        </w:rPr>
        <w:t>依照《湖南省林木、林地权属争议处理办法》</w:t>
      </w:r>
      <w:r>
        <w:rPr>
          <w:rFonts w:hint="default" w:ascii="Times New Roman" w:hAnsi="Times New Roman" w:eastAsia="仿宋_GB2312" w:cs="Times New Roman"/>
          <w:kern w:val="0"/>
          <w:sz w:val="32"/>
          <w:szCs w:val="32"/>
        </w:rPr>
        <w:t>由县林业行政主管部门责令限期改正，依法收缴其伪造、变造、涂改的林木、林地权属凭证，并视情节轻重可处50-200元的罚款。</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林地权属纠纷调处期间，故意制造事端扰乱社会治安或阻挠调解处理工作的，由公安机关依照《中华人民共和国治安管理处罚法》处罚；构成犯罪的，依法追究刑事责任。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（三）在林木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林地权属纠纷未调处好之前，擅自砍伐争议林木或在争议地上从事基本建设或者其他生产活动的，由</w:t>
      </w:r>
      <w:r>
        <w:rPr>
          <w:rFonts w:hint="default" w:ascii="Times New Roman" w:hAnsi="Times New Roman" w:eastAsia="仿宋_GB2312" w:cs="Times New Roman"/>
          <w:spacing w:val="-6"/>
          <w:kern w:val="0"/>
          <w:sz w:val="32"/>
          <w:szCs w:val="32"/>
        </w:rPr>
        <w:t>县林业行政主管部门依照《森林法》等法律法规给予行政处罚。</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（四）国家工作人员在处理山林纠纷中徇私舞弊、索取受贿、玩忽职守、不作为、缓作为或者幕后操纵林木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林地权属纠纷，故意增加调处难度的，由主管机关给予行政处分；构成犯罪的，依法追究刑事责任。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（五）发生林木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林地权属纠纷时，乡镇不及时处理或因组织处理不力，导致事态扩大，造成严重社会影响的，由县人民政府按有关规定对乡镇人民政府主要领导或分管领导予以问责。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（六）法律法规规定的其它应追究责任的情形。</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default" w:ascii="黑体" w:hAnsi="黑体" w:eastAsia="黑体" w:cs="黑体"/>
          <w:b w:val="0"/>
          <w:bCs/>
          <w:kern w:val="0"/>
          <w:sz w:val="32"/>
          <w:szCs w:val="32"/>
        </w:rPr>
      </w:pPr>
      <w:r>
        <w:rPr>
          <w:rFonts w:hint="default" w:ascii="黑体" w:hAnsi="黑体" w:eastAsia="黑体" w:cs="黑体"/>
          <w:b w:val="0"/>
          <w:bCs/>
          <w:kern w:val="0"/>
          <w:sz w:val="32"/>
          <w:szCs w:val="32"/>
        </w:rPr>
        <w:t>五、工作考核</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kern w:val="0"/>
          <w:sz w:val="32"/>
          <w:szCs w:val="32"/>
        </w:rPr>
        <w:t>将林木、林地权属纠纷调处纳入全</w:t>
      </w:r>
      <w:r>
        <w:rPr>
          <w:rFonts w:hint="eastAsia" w:ascii="Times New Roman" w:hAnsi="Times New Roman" w:eastAsia="仿宋_GB2312" w:cs="Times New Roman"/>
          <w:kern w:val="0"/>
          <w:sz w:val="32"/>
          <w:szCs w:val="32"/>
          <w:lang w:val="en-US" w:eastAsia="zh-CN"/>
        </w:rPr>
        <w:t>面</w:t>
      </w:r>
      <w:r>
        <w:rPr>
          <w:rFonts w:hint="default" w:ascii="Times New Roman" w:hAnsi="Times New Roman" w:eastAsia="仿宋_GB2312" w:cs="Times New Roman"/>
          <w:kern w:val="0"/>
          <w:sz w:val="32"/>
          <w:szCs w:val="32"/>
        </w:rPr>
        <w:t>依法治县和保护发展森林资源绩效考核内容，由县司法局和县林业局共同组织实施。</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OTk5ZjI0OWEzMzA3MzcwMjhkMzc1OTE0YjhmNTIifQ=="/>
  </w:docVars>
  <w:rsids>
    <w:rsidRoot w:val="7AFA3A96"/>
    <w:rsid w:val="04EA5B96"/>
    <w:rsid w:val="0B467558"/>
    <w:rsid w:val="0D5E2D50"/>
    <w:rsid w:val="0E482319"/>
    <w:rsid w:val="15993A96"/>
    <w:rsid w:val="1A1C0279"/>
    <w:rsid w:val="24157326"/>
    <w:rsid w:val="27D42B06"/>
    <w:rsid w:val="285C0707"/>
    <w:rsid w:val="2EF92CB3"/>
    <w:rsid w:val="368D118C"/>
    <w:rsid w:val="41AC6FCE"/>
    <w:rsid w:val="42AF09BB"/>
    <w:rsid w:val="4430512C"/>
    <w:rsid w:val="4C181F20"/>
    <w:rsid w:val="546C5AC6"/>
    <w:rsid w:val="55377978"/>
    <w:rsid w:val="5B932093"/>
    <w:rsid w:val="5BB25ACA"/>
    <w:rsid w:val="5FD30BFA"/>
    <w:rsid w:val="69CA7667"/>
    <w:rsid w:val="6A0868BC"/>
    <w:rsid w:val="6A965669"/>
    <w:rsid w:val="6E470169"/>
    <w:rsid w:val="7AF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rPr>
      <w:rFonts w:cs="Times New Roman"/>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2989</Words>
  <Characters>3035</Characters>
  <Lines>0</Lines>
  <Paragraphs>0</Paragraphs>
  <TotalTime>8</TotalTime>
  <ScaleCrop>false</ScaleCrop>
  <LinksUpToDate>false</LinksUpToDate>
  <CharactersWithSpaces>3037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2021-03-18T07:50:00Z</dcterms:created>
  <dc:creator>纯宝</dc:creator>
  <cp:lastModifiedBy>薛强</cp:lastModifiedBy>
  <cp:lastPrinted>2022-09-15T01:32:00Z</cp:lastPrinted>
  <dcterms:modified xsi:type="dcterms:W3CDTF">2022-09-15T08:00:34Z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507858CCDEF14036AF580CF9D34132C1</vt:lpwstr>
  </property>
</Properties>
</file>