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20" w:lineRule="exact"/>
        <w:rPr>
          <w:rFonts w:hint="default" w:ascii="Times New Roman" w:hAnsi="Times New Roman" w:eastAsia="仿宋_GB2312" w:cs="Times New Roman"/>
          <w:spacing w:val="-2"/>
          <w:sz w:val="32"/>
          <w:szCs w:val="32"/>
        </w:rPr>
      </w:pPr>
    </w:p>
    <w:p>
      <w:pPr>
        <w:spacing w:line="640" w:lineRule="exact"/>
        <w:jc w:val="center"/>
        <w:rPr>
          <w:rFonts w:hint="eastAsia" w:ascii="方正小标宋简体" w:hAnsi="方正小标宋简体" w:eastAsia="方正小标宋简体" w:cs="方正小标宋简体"/>
          <w:b w:val="0"/>
          <w:bCs/>
          <w:color w:val="auto"/>
          <w:sz w:val="32"/>
          <w:szCs w:val="32"/>
        </w:rPr>
      </w:pPr>
      <w:r>
        <w:rPr>
          <w:rFonts w:hint="eastAsia" w:ascii="方正小标宋简体" w:hAnsi="方正小标宋简体" w:eastAsia="方正小标宋简体" w:cs="方正小标宋简体"/>
          <w:b w:val="0"/>
          <w:bCs/>
          <w:color w:val="auto"/>
          <w:sz w:val="44"/>
          <w:szCs w:val="44"/>
        </w:rPr>
        <w:t>桃江县林业局</w:t>
      </w:r>
    </w:p>
    <w:p>
      <w:pPr>
        <w:spacing w:line="520" w:lineRule="exact"/>
        <w:jc w:val="center"/>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rPr>
        <w:t>关于印发《推行行政执法公示制度执法</w:t>
      </w:r>
    </w:p>
    <w:p>
      <w:pPr>
        <w:spacing w:line="520" w:lineRule="exact"/>
        <w:jc w:val="center"/>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rPr>
        <w:t>全过程记录制度重大执法决定法制审核</w:t>
      </w:r>
    </w:p>
    <w:p>
      <w:pPr>
        <w:spacing w:line="520" w:lineRule="exact"/>
        <w:jc w:val="center"/>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rPr>
        <w:t>制度的实施方案》的通知</w:t>
      </w:r>
    </w:p>
    <w:p>
      <w:pPr>
        <w:spacing w:line="520" w:lineRule="exact"/>
        <w:rPr>
          <w:rFonts w:hint="eastAsia" w:ascii="仿宋_GB2312" w:eastAsia="仿宋_GB2312"/>
          <w:color w:val="auto"/>
          <w:sz w:val="32"/>
          <w:szCs w:val="32"/>
        </w:rPr>
      </w:pPr>
      <w:r>
        <w:rPr>
          <w:color w:val="auto"/>
          <w:sz w:val="36"/>
          <w:szCs w:val="36"/>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color w:val="auto"/>
          <w:sz w:val="32"/>
          <w:szCs w:val="32"/>
        </w:rPr>
      </w:pPr>
      <w:r>
        <w:rPr>
          <w:rFonts w:hint="eastAsia" w:ascii="仿宋_GB2312" w:eastAsia="仿宋_GB2312"/>
          <w:color w:val="auto"/>
          <w:sz w:val="32"/>
          <w:szCs w:val="32"/>
        </w:rPr>
        <w:t>机关各股室（站、中心）、执法大队：</w:t>
      </w: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eastAsia" w:ascii="仿宋_GB2312" w:eastAsia="仿宋_GB2312"/>
          <w:color w:val="auto"/>
          <w:sz w:val="32"/>
          <w:szCs w:val="32"/>
        </w:rPr>
      </w:pPr>
      <w:r>
        <w:rPr>
          <w:rFonts w:hint="eastAsia" w:ascii="仿宋_GB2312" w:eastAsia="仿宋_GB2312"/>
          <w:color w:val="auto"/>
          <w:sz w:val="32"/>
          <w:szCs w:val="32"/>
        </w:rPr>
        <w:t xml:space="preserve">现将桃江县林业局《推行行政执法公示制度执法全过程记录制度重大执法决定法制审核制度试点工作实施方案》的通知印发给你们，请认真遵照执行。 </w:t>
      </w: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eastAsia" w:ascii="仿宋_GB2312" w:eastAsia="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before="156" w:beforeLines="50" w:line="560" w:lineRule="exact"/>
        <w:ind w:firstLine="5920" w:firstLineChars="1850"/>
        <w:textAlignment w:val="auto"/>
        <w:outlineLvl w:val="9"/>
        <w:rPr>
          <w:rFonts w:hint="eastAsia" w:ascii="仿宋_GB2312" w:eastAsia="仿宋_GB2312"/>
          <w:color w:val="auto"/>
          <w:sz w:val="32"/>
          <w:szCs w:val="32"/>
        </w:rPr>
      </w:pPr>
      <w:r>
        <w:rPr>
          <w:rFonts w:hint="eastAsia" w:ascii="仿宋_GB2312" w:eastAsia="仿宋_GB2312"/>
          <w:color w:val="auto"/>
          <w:sz w:val="32"/>
          <w:szCs w:val="32"/>
        </w:rPr>
        <w:t>桃江县林业局</w:t>
      </w:r>
    </w:p>
    <w:p>
      <w:pPr>
        <w:keepNext w:val="0"/>
        <w:keepLines w:val="0"/>
        <w:pageBreakBefore w:val="0"/>
        <w:widowControl w:val="0"/>
        <w:kinsoku/>
        <w:wordWrap/>
        <w:overflowPunct/>
        <w:topLinePunct w:val="0"/>
        <w:autoSpaceDE/>
        <w:autoSpaceDN/>
        <w:bidi w:val="0"/>
        <w:adjustRightInd/>
        <w:snapToGrid/>
        <w:spacing w:line="560" w:lineRule="exact"/>
        <w:ind w:firstLine="646"/>
        <w:textAlignment w:val="auto"/>
        <w:outlineLvl w:val="9"/>
        <w:rPr>
          <w:rFonts w:hint="eastAsia" w:ascii="仿宋_GB2312" w:hAnsi="仿宋_GB2312" w:eastAsia="仿宋_GB2312" w:cs="仿宋_GB2312"/>
          <w:color w:val="auto"/>
          <w:sz w:val="32"/>
          <w:szCs w:val="32"/>
        </w:rPr>
      </w:pPr>
      <w:r>
        <w:rPr>
          <w:rFonts w:hint="eastAsia" w:ascii="仿宋_GB2312" w:eastAsia="仿宋_GB2312"/>
          <w:color w:val="auto"/>
          <w:sz w:val="32"/>
          <w:szCs w:val="32"/>
        </w:rPr>
        <w:t xml:space="preserve">                                2020年</w:t>
      </w:r>
      <w:r>
        <w:rPr>
          <w:rFonts w:hint="eastAsia" w:ascii="仿宋_GB2312" w:eastAsia="仿宋_GB2312"/>
          <w:color w:val="auto"/>
          <w:sz w:val="32"/>
          <w:szCs w:val="32"/>
          <w:lang w:val="en-US" w:eastAsia="zh-CN"/>
        </w:rPr>
        <w:t>3</w:t>
      </w:r>
      <w:r>
        <w:rPr>
          <w:rFonts w:hint="eastAsia" w:ascii="仿宋_GB2312" w:eastAsia="仿宋_GB2312"/>
          <w:color w:val="auto"/>
          <w:sz w:val="32"/>
          <w:szCs w:val="32"/>
        </w:rPr>
        <w:t>月</w:t>
      </w:r>
      <w:r>
        <w:rPr>
          <w:rFonts w:hint="eastAsia" w:ascii="仿宋_GB2312" w:eastAsia="仿宋_GB2312"/>
          <w:color w:val="auto"/>
          <w:sz w:val="32"/>
          <w:szCs w:val="32"/>
          <w:lang w:val="en-US" w:eastAsia="zh-CN"/>
        </w:rPr>
        <w:t>3</w:t>
      </w:r>
      <w:r>
        <w:rPr>
          <w:rFonts w:hint="eastAsia" w:ascii="仿宋_GB2312" w:eastAsia="仿宋_GB2312"/>
          <w:color w:val="auto"/>
          <w:sz w:val="32"/>
          <w:szCs w:val="32"/>
        </w:rPr>
        <w:t>日</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outlineLvl w:val="9"/>
        <w:rPr>
          <w:rFonts w:hint="eastAsia" w:ascii="仿宋_GB2312" w:hAnsi="仿宋_GB2312" w:eastAsia="仿宋_GB2312" w:cs="仿宋_GB2312"/>
          <w:sz w:val="32"/>
          <w:szCs w:val="32"/>
        </w:rPr>
      </w:pPr>
      <w:r>
        <w:rPr>
          <w:rFonts w:hint="eastAsia" w:ascii="仿宋" w:hAnsi="仿宋" w:eastAsia="仿宋"/>
          <w:sz w:val="32"/>
          <w:szCs w:val="32"/>
        </w:rPr>
        <w:t xml:space="preserve"> </w:t>
      </w:r>
    </w:p>
    <w:p>
      <w:pPr>
        <w:spacing w:line="20" w:lineRule="exact"/>
        <w:ind w:firstLine="527"/>
        <w:rPr>
          <w:rFonts w:ascii="Times New Roman" w:hAnsi="Times New Roman" w:eastAsia="仿宋_GB2312"/>
          <w:spacing w:val="-2"/>
          <w:sz w:val="32"/>
          <w:szCs w:val="32"/>
        </w:rPr>
      </w:pPr>
    </w:p>
    <w:p>
      <w:pPr>
        <w:spacing w:line="20" w:lineRule="exact"/>
        <w:ind w:firstLine="527"/>
        <w:rPr>
          <w:rFonts w:ascii="Times New Roman" w:hAnsi="Times New Roman" w:eastAsia="仿宋_GB2312"/>
          <w:spacing w:val="-2"/>
          <w:sz w:val="32"/>
          <w:szCs w:val="32"/>
        </w:rPr>
      </w:pPr>
    </w:p>
    <w:p>
      <w:pPr>
        <w:spacing w:line="20" w:lineRule="exact"/>
        <w:ind w:firstLine="527"/>
        <w:rPr>
          <w:rFonts w:ascii="Times New Roman" w:hAnsi="Times New Roman" w:eastAsia="仿宋_GB2312"/>
          <w:spacing w:val="-2"/>
          <w:sz w:val="32"/>
          <w:szCs w:val="32"/>
        </w:rPr>
      </w:pPr>
    </w:p>
    <w:p>
      <w:pPr>
        <w:spacing w:line="20" w:lineRule="exact"/>
        <w:ind w:firstLine="527"/>
        <w:rPr>
          <w:rFonts w:ascii="Times New Roman" w:hAnsi="Times New Roman" w:eastAsia="仿宋_GB2312"/>
          <w:spacing w:val="-2"/>
          <w:sz w:val="32"/>
          <w:szCs w:val="32"/>
        </w:rPr>
      </w:pPr>
    </w:p>
    <w:p>
      <w:pPr>
        <w:spacing w:line="20" w:lineRule="exact"/>
        <w:ind w:firstLine="527"/>
        <w:rPr>
          <w:rFonts w:ascii="Times New Roman" w:hAnsi="Times New Roman" w:eastAsia="仿宋_GB2312"/>
          <w:spacing w:val="-2"/>
          <w:sz w:val="32"/>
          <w:szCs w:val="32"/>
        </w:rPr>
      </w:pPr>
    </w:p>
    <w:p>
      <w:pPr>
        <w:spacing w:line="20" w:lineRule="exact"/>
        <w:ind w:firstLine="527"/>
        <w:rPr>
          <w:rFonts w:ascii="Times New Roman" w:hAnsi="Times New Roman" w:eastAsia="仿宋_GB2312"/>
          <w:spacing w:val="-2"/>
          <w:sz w:val="32"/>
          <w:szCs w:val="32"/>
        </w:rPr>
      </w:pPr>
    </w:p>
    <w:p>
      <w:pPr>
        <w:spacing w:line="20" w:lineRule="exact"/>
        <w:rPr>
          <w:rFonts w:ascii="Times New Roman" w:hAnsi="Times New Roman" w:eastAsia="仿宋_GB2312"/>
          <w:spacing w:val="-2"/>
          <w:sz w:val="32"/>
          <w:szCs w:val="32"/>
        </w:rPr>
      </w:pPr>
    </w:p>
    <w:p>
      <w:pPr>
        <w:spacing w:line="520" w:lineRule="exact"/>
        <w:rPr>
          <w:rFonts w:ascii="仿宋_GB2312" w:eastAsia="仿宋_GB2312"/>
          <w:color w:val="auto"/>
          <w:sz w:val="28"/>
          <w:szCs w:val="28"/>
          <w:u w:val="single"/>
        </w:rPr>
        <w:sectPr>
          <w:footerReference r:id="rId5" w:type="first"/>
          <w:footerReference r:id="rId3" w:type="default"/>
          <w:footerReference r:id="rId4" w:type="even"/>
          <w:pgSz w:w="11906" w:h="16838"/>
          <w:pgMar w:top="1440" w:right="1800" w:bottom="1440" w:left="1800" w:header="851" w:footer="992" w:gutter="0"/>
          <w:pgNumType w:fmt="decimal"/>
          <w:cols w:space="720" w:num="1"/>
          <w:titlePg/>
          <w:docGrid w:type="lines" w:linePitch="312" w:charSpace="0"/>
        </w:sectPr>
      </w:pPr>
      <w:r>
        <w:rPr>
          <w:rFonts w:hint="eastAsia" w:ascii="仿宋" w:hAnsi="仿宋" w:eastAsia="仿宋"/>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桃江县林业局推行行政执法公示制度执法</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全过程记录制度重大执法决定法制审核制度的</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实施方案</w:t>
      </w:r>
    </w:p>
    <w:p>
      <w:pPr>
        <w:ind w:firstLine="640" w:firstLineChars="200"/>
        <w:rPr>
          <w:rFonts w:ascii="仿宋" w:hAnsi="仿宋" w:eastAsia="仿宋" w:cs="仿宋"/>
          <w:color w:val="auto"/>
          <w:sz w:val="32"/>
          <w:szCs w:val="32"/>
        </w:rPr>
      </w:pPr>
      <w:r>
        <w:rPr>
          <w:rFonts w:hint="eastAsia" w:ascii="仿宋" w:hAnsi="仿宋" w:eastAsia="仿宋" w:cs="仿宋"/>
          <w:color w:val="auto"/>
          <w:sz w:val="32"/>
          <w:szCs w:val="32"/>
        </w:rPr>
        <w:t xml:space="preserve">                </w:t>
      </w:r>
      <w:r>
        <w:rPr>
          <w:rFonts w:hint="eastAsia" w:ascii="仿宋" w:hAnsi="仿宋" w:eastAsia="仿宋" w:cs="仿宋"/>
          <w:b/>
          <w:bCs/>
          <w:color w:val="auto"/>
          <w:sz w:val="32"/>
          <w:szCs w:val="32"/>
        </w:rPr>
        <w:t xml:space="preserve"> </w:t>
      </w:r>
    </w:p>
    <w:p>
      <w:pPr>
        <w:keepNext w:val="0"/>
        <w:keepLines w:val="0"/>
        <w:pageBreakBefore w:val="0"/>
        <w:widowControl w:val="0"/>
        <w:kinsoku/>
        <w:wordWrap/>
        <w:overflowPunct/>
        <w:topLinePunct w:val="0"/>
        <w:autoSpaceDE/>
        <w:autoSpaceDN/>
        <w:bidi w:val="0"/>
        <w:adjustRightInd/>
        <w:snapToGrid/>
        <w:spacing w:before="75" w:beforeAutospacing="0" w:after="75" w:line="600" w:lineRule="exact"/>
        <w:ind w:firstLine="640" w:firstLineChars="200"/>
        <w:jc w:val="both"/>
        <w:textAlignment w:val="auto"/>
        <w:outlineLvl w:val="9"/>
        <w:rPr>
          <w:rFonts w:hint="eastAsia" w:ascii="仿宋_GB2312" w:hAnsi="Helvetica" w:eastAsia="仿宋_GB2312" w:cs="Helvetica"/>
          <w:color w:val="auto"/>
          <w:kern w:val="0"/>
          <w:sz w:val="32"/>
          <w:szCs w:val="32"/>
        </w:rPr>
      </w:pPr>
      <w:r>
        <w:rPr>
          <w:rFonts w:hint="eastAsia" w:ascii="仿宋_GB2312" w:hAnsi="宋体" w:eastAsia="仿宋_GB2312" w:cs="Helvetica"/>
          <w:color w:val="auto"/>
          <w:kern w:val="0"/>
          <w:sz w:val="32"/>
          <w:szCs w:val="32"/>
        </w:rPr>
        <w:t>根据《桃江县全面推行行政执法公示制度执法全过程记录制度重大执法决定法制审核制度的实施方案》（桃政办发〔</w:t>
      </w:r>
      <w:r>
        <w:rPr>
          <w:rFonts w:hint="eastAsia" w:ascii="仿宋_GB2312" w:eastAsia="仿宋_GB2312"/>
          <w:color w:val="auto"/>
          <w:kern w:val="0"/>
          <w:sz w:val="32"/>
          <w:szCs w:val="32"/>
        </w:rPr>
        <w:t>2019</w:t>
      </w:r>
      <w:r>
        <w:rPr>
          <w:rFonts w:hint="eastAsia" w:ascii="仿宋_GB2312" w:hAnsi="宋体" w:eastAsia="仿宋_GB2312" w:cs="Helvetica"/>
          <w:color w:val="auto"/>
          <w:kern w:val="0"/>
          <w:sz w:val="32"/>
          <w:szCs w:val="32"/>
        </w:rPr>
        <w:t>〕</w:t>
      </w:r>
      <w:r>
        <w:rPr>
          <w:rFonts w:hint="eastAsia" w:ascii="仿宋_GB2312" w:eastAsia="仿宋_GB2312"/>
          <w:color w:val="auto"/>
          <w:kern w:val="0"/>
          <w:sz w:val="32"/>
          <w:szCs w:val="32"/>
        </w:rPr>
        <w:t>15</w:t>
      </w:r>
      <w:r>
        <w:rPr>
          <w:rFonts w:hint="eastAsia" w:ascii="仿宋_GB2312" w:hAnsi="宋体" w:eastAsia="仿宋_GB2312" w:cs="Helvetica"/>
          <w:color w:val="auto"/>
          <w:kern w:val="0"/>
          <w:sz w:val="32"/>
          <w:szCs w:val="32"/>
        </w:rPr>
        <w:t>号）文件精神，结合林业工作实际，现就全面推行行政执法公示制度、执法全过程记录制度、重大执法决定法制审核制度（以下统称</w:t>
      </w:r>
      <w:r>
        <w:rPr>
          <w:rFonts w:hint="eastAsia" w:ascii="仿宋_GB2312" w:eastAsia="仿宋_GB2312"/>
          <w:color w:val="auto"/>
          <w:kern w:val="0"/>
          <w:sz w:val="32"/>
          <w:szCs w:val="32"/>
        </w:rPr>
        <w:t>“</w:t>
      </w:r>
      <w:r>
        <w:rPr>
          <w:rFonts w:hint="eastAsia" w:ascii="仿宋_GB2312" w:hAnsi="宋体" w:eastAsia="仿宋_GB2312" w:cs="Helvetica"/>
          <w:color w:val="auto"/>
          <w:kern w:val="0"/>
          <w:sz w:val="32"/>
          <w:szCs w:val="32"/>
        </w:rPr>
        <w:t>三项制度</w:t>
      </w:r>
      <w:r>
        <w:rPr>
          <w:rFonts w:hint="eastAsia" w:ascii="仿宋_GB2312" w:eastAsia="仿宋_GB2312"/>
          <w:color w:val="auto"/>
          <w:kern w:val="0"/>
          <w:sz w:val="32"/>
          <w:szCs w:val="32"/>
        </w:rPr>
        <w:t>”</w:t>
      </w:r>
      <w:r>
        <w:rPr>
          <w:rFonts w:hint="eastAsia" w:ascii="仿宋_GB2312" w:hAnsi="宋体" w:eastAsia="仿宋_GB2312" w:cs="Helvetica"/>
          <w:color w:val="auto"/>
          <w:kern w:val="0"/>
          <w:sz w:val="32"/>
          <w:szCs w:val="32"/>
        </w:rPr>
        <w:t>），制定本实施方案。</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一、指导思想</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宋体" w:eastAsia="仿宋_GB2312"/>
          <w:color w:val="auto"/>
          <w:sz w:val="32"/>
          <w:szCs w:val="32"/>
        </w:rPr>
        <w:t>深入贯彻落实党的十九大、十九届三中、四中全会精神和</w:t>
      </w:r>
      <w:r>
        <w:rPr>
          <w:rFonts w:hint="eastAsia" w:ascii="仿宋_GB2312" w:hAnsi="宋体" w:eastAsia="仿宋_GB2312" w:cs="宋体"/>
          <w:color w:val="auto"/>
          <w:kern w:val="0"/>
          <w:sz w:val="32"/>
          <w:szCs w:val="32"/>
        </w:rPr>
        <w:t>湖南省人民政府办公厅关于印发《湖南省行政执法公示办法》《湖南省行政执法全过程记录办法》《湖南省重大行政执法决定法制审核办法》的通知（湘政办发〔2019〕53号）、</w:t>
      </w:r>
      <w:r>
        <w:rPr>
          <w:rFonts w:hint="eastAsia" w:ascii="仿宋_GB2312" w:hAnsi="宋体" w:eastAsia="仿宋_GB2312" w:cs="Helvetica"/>
          <w:color w:val="auto"/>
          <w:kern w:val="0"/>
          <w:sz w:val="32"/>
          <w:szCs w:val="32"/>
        </w:rPr>
        <w:t>《桃江县全面推行行政执法公示制度执法全过程记录制度重大执法决定法制审核制度的实施方案》（桃政办发〔</w:t>
      </w:r>
      <w:r>
        <w:rPr>
          <w:rFonts w:hint="eastAsia" w:ascii="仿宋_GB2312" w:eastAsia="仿宋_GB2312"/>
          <w:color w:val="auto"/>
          <w:kern w:val="0"/>
          <w:sz w:val="32"/>
          <w:szCs w:val="32"/>
        </w:rPr>
        <w:t>2019</w:t>
      </w:r>
      <w:r>
        <w:rPr>
          <w:rFonts w:hint="eastAsia" w:ascii="仿宋_GB2312" w:hAnsi="宋体" w:eastAsia="仿宋_GB2312" w:cs="Helvetica"/>
          <w:color w:val="auto"/>
          <w:kern w:val="0"/>
          <w:sz w:val="32"/>
          <w:szCs w:val="32"/>
        </w:rPr>
        <w:t>〕</w:t>
      </w:r>
      <w:r>
        <w:rPr>
          <w:rFonts w:hint="eastAsia" w:ascii="仿宋_GB2312" w:eastAsia="仿宋_GB2312"/>
          <w:color w:val="auto"/>
          <w:kern w:val="0"/>
          <w:sz w:val="32"/>
          <w:szCs w:val="32"/>
        </w:rPr>
        <w:t>15</w:t>
      </w:r>
      <w:r>
        <w:rPr>
          <w:rFonts w:hint="eastAsia" w:ascii="仿宋_GB2312" w:hAnsi="宋体" w:eastAsia="仿宋_GB2312" w:cs="Helvetica"/>
          <w:color w:val="auto"/>
          <w:kern w:val="0"/>
          <w:sz w:val="32"/>
          <w:szCs w:val="32"/>
        </w:rPr>
        <w:t>号）文件精神，</w:t>
      </w:r>
      <w:r>
        <w:rPr>
          <w:rFonts w:hint="eastAsia" w:ascii="仿宋_GB2312" w:hAnsi="仿宋" w:eastAsia="仿宋_GB2312"/>
          <w:color w:val="auto"/>
          <w:sz w:val="32"/>
          <w:szCs w:val="32"/>
        </w:rPr>
        <w:t>以依法有序、科学规范、便捷高效为原则，紧密联系实际，突出问题导向，着力推进三项制度，促进严格规范公正文明执法，保障和监督行政机关有效履行职责，进一步推进“放管服”改革，为我局行政执法提供法律保障。</w:t>
      </w:r>
      <w:r>
        <w:rPr>
          <w:rFonts w:hint="eastAsia" w:ascii="仿宋_GB2312" w:hAnsi="仿宋" w:eastAsia="仿宋_GB2312" w:cs="仿宋_GB2312"/>
          <w:color w:val="auto"/>
          <w:sz w:val="32"/>
          <w:szCs w:val="32"/>
        </w:rPr>
        <w:t>为林业发展加快转型、绿色发展、超越提升提供有效制度支撑。</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二、加强组织领导</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eastAsia="仿宋_GB2312"/>
          <w:color w:val="auto"/>
          <w:sz w:val="32"/>
          <w:szCs w:val="32"/>
        </w:rPr>
      </w:pPr>
      <w:r>
        <w:rPr>
          <w:rFonts w:hint="eastAsia" w:ascii="仿宋_GB2312" w:eastAsia="仿宋_GB2312"/>
          <w:color w:val="auto"/>
          <w:sz w:val="32"/>
          <w:szCs w:val="32"/>
        </w:rPr>
        <w:t>为确保行政执法三项制度推进工作顺利进行，县林业局成立行政执法三项制度推进工作领导小组，由党组书记、局长任组长，其他班子成员任副组长，各股室长为成员的行政执法三项制度推进工作领导小组。行政执法三项制度推进工作领导小组下设办公室，办公室设政策法规股，主要负责领导小组的日常工作，全面负责组织、协调、督促各相关单位的行政执法三项制度推进工作。</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三、任务措施</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自2020年2月开始，在行政许可、行政处罚、行政征收、行政给付、行政强制、行政检查等行政执法行为中全面推行行政执法三项制度措施。</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楷体_GB2312"/>
          <w:b/>
          <w:color w:val="auto"/>
          <w:sz w:val="32"/>
          <w:szCs w:val="32"/>
        </w:rPr>
        <w:t>（一）行政执法公示制度。</w:t>
      </w:r>
      <w:r>
        <w:rPr>
          <w:rFonts w:hint="eastAsia" w:ascii="仿宋_GB2312" w:hAnsi="仿宋" w:eastAsia="仿宋_GB2312" w:cs="仿宋_GB2312"/>
          <w:color w:val="auto"/>
          <w:sz w:val="32"/>
          <w:szCs w:val="32"/>
        </w:rPr>
        <w:t>建立健全行政执法的事前、事中、事后公开机制，通过门户网站和办事大厅、服务窗口等载体，依法及时向社会公开有关行政执法信息。执法人员在执法过程中，要主动表明身份。</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统一建章立制。我局结合实际明确行政执法公示具体任务，明确执法公示的范围、内容、载体、程序、时限要求、监督方式和保障措施等事项。建立健全对公开信息的审核、纠错机制，构建分工明确、职责明晰、便捷高效的行政执法公示运行机制。</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2.加强事前公开。主要公开行政执法主体、人员、职责、权限、随机抽查事项清单、依据、程序、监督方式和救济渠道等信息，并根据法律法规立改废和部门机构职能调整等情况动态调整。</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（1）结合我县“放管服”改革推进和权力责任责清单等工作，编制《行政执法事项清单》，明确行政执法主体、职责、权限、依据等须事前公开的内容，经县司法局审核后予以公示。</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根据相关法律法规规定，完善行政执法程序，编制行政执法流程图，明确具体操作流程；编制行政执法服务指南，明确行政执法事项名称、依据、受理机构、审批机构、申请材料、办理流程、办理时限、监督方式、责任追究、救济渠道、办公时间、办公地址、办公电话等内容，方便群众办事。</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（3）公开行政执法人员清单，实现行政执法人员信息公开透明，网上可查询，随时接受群众监督。</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3.规范事中公示。主要是在执法过程中主动亮明身份，做好告知说明工作。</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全面实行行政执法人员持证上岗和资格管理制度，未经执法资格考试合格，不得授予执法资格，不得从事执法活动。行政执法人员开展检查、调查等执法活动要主动亮明身份，出示省政府统一印制或经备案的行政执法证件。</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（2）办事大厅、服务窗口等固定办事场所要明示工作人员单位、姓名、职务、执法种类和服务事项等信息。</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4.推动事后公开。主要是按时主动向社会公布行政许可、行政处罚、行政征收、</w:t>
      </w:r>
      <w:r>
        <w:rPr>
          <w:rFonts w:hint="eastAsia" w:ascii="仿宋_GB2312" w:hAnsi="仿宋" w:eastAsia="仿宋_GB2312" w:cs="仿宋_GB2312"/>
          <w:color w:val="auto"/>
          <w:sz w:val="32"/>
          <w:szCs w:val="32"/>
          <w:lang w:eastAsia="zh-CN"/>
        </w:rPr>
        <w:t>行政给付、行政检查、</w:t>
      </w:r>
      <w:r>
        <w:rPr>
          <w:rFonts w:hint="eastAsia" w:ascii="仿宋_GB2312" w:hAnsi="仿宋" w:eastAsia="仿宋_GB2312" w:cs="仿宋_GB2312"/>
          <w:color w:val="auto"/>
          <w:sz w:val="32"/>
          <w:szCs w:val="32"/>
        </w:rPr>
        <w:t>行政强制等执法结果，主动接受群众监督。</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5.创新公开方式。</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按“互联网+政务服务”和信息化建设的要求，加强门户网站、办事大厅、服务窗口建设，探索运用微博、微信、智能手机第三方应用程序等载体，全面、及时、准确公示执法信息，拓宽公开渠道，方便群众查询。</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（2）积极探索建立办公自动化系统或执法办案系统与行政执法信息公示平台的数据交换机制，实现执法信息向公示平台的即时推送。</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楷体_GB2312"/>
          <w:b/>
          <w:color w:val="auto"/>
          <w:sz w:val="32"/>
          <w:szCs w:val="32"/>
        </w:rPr>
        <w:t>（二）执法全过程记录制度。</w:t>
      </w:r>
      <w:r>
        <w:rPr>
          <w:rFonts w:hint="eastAsia" w:ascii="仿宋_GB2312" w:hAnsi="仿宋" w:eastAsia="仿宋_GB2312" w:cs="仿宋_GB2312"/>
          <w:color w:val="auto"/>
          <w:sz w:val="32"/>
          <w:szCs w:val="32"/>
        </w:rPr>
        <w:t>通过文字、音像等方式，对立案、调查、取证、审查、决定、送达、执行等行政执法活动进行记录并归档，实现行政执法行为的全过程留痕和可回溯管理。</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修订完善制度。依据省、市、县关于行政执法记录办法相关文件精神，按行政许可、行政处罚、行政征收、行政强制、行政检查的执法类别，建立行政执法全过程记录具体办法，绘制行政执法流程图，明确各个执法环节记录的内容、方式、载体等事项，完善执法信息采集、存储、分析、归档等规范化建设制度。</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2.规范文字记录。主要是根据行政执法的种类、性质及流程等，规范执法文书制作，推行执法文书电子化，明确执法案卷标准，确保执法文书和案卷完整准确。</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3.推行音像记录。对现场检查、随机抽查、调查取证、证据保全、听证、送达等容易引发争议的行政执法活动，要进行音像记录；对直接涉及重大财产权益的现场执法活动和执法场所，要进行全过程音像记录。</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4.提高记录信息化水平。利用大数据等信息技术，结合办公自动化和执法办案系统建设，积极探索运用成本低、效果好、易保存、不能删改的记录方式。</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5.强化记录实效。建立健全执法全过程记录信息收集、保存、管理、使用等工作制度，加强全过程记录数据统计分析，充分发挥全过程记录信息在案卷评查、执法监督、评议考核、舆情应对、行政决策等工作中的作用。</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楷体_GB2312"/>
          <w:b/>
          <w:color w:val="auto"/>
          <w:sz w:val="32"/>
          <w:szCs w:val="32"/>
        </w:rPr>
        <w:t>（三）重大执法决定法制审核制度。</w:t>
      </w:r>
      <w:r>
        <w:rPr>
          <w:rFonts w:hint="eastAsia" w:ascii="仿宋_GB2312" w:hAnsi="仿宋" w:eastAsia="仿宋_GB2312" w:cs="仿宋_GB2312"/>
          <w:color w:val="auto"/>
          <w:sz w:val="32"/>
          <w:szCs w:val="32"/>
        </w:rPr>
        <w:t>作出重大执法决定前，要进行法制审核，未经法制审核或审核未通过的，不得作出决定，确保每项重大执法决定都合法适当，守住法律底线。</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1.健全审核制度。制定重大执法决定法制审核具体办法。</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2.落实审核主体。</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（1）重大执法决定法制审核主体为政策法规股。按要求配备和充实政治素质高、业务能力强、具有法律专业背景的法制审核人员，确保法制审核人员数量能够满足工作需要。</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（2）建立法制审核人员定期培训制度，积极推行“互联网+培训”、案例教学等多种培训方式，不断提高法制审核人员的法律素养和业务能力。</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（3）建立健全法律顾问制度，对重大复杂疑难法律事务组织法律顾问协助进行研究，提出意见建议，充分发挥法律顾问在法制审核工作中的作用。</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楷体_GB2312"/>
          <w:color w:val="auto"/>
          <w:sz w:val="32"/>
          <w:szCs w:val="32"/>
        </w:rPr>
      </w:pPr>
      <w:r>
        <w:rPr>
          <w:rFonts w:hint="eastAsia" w:ascii="仿宋_GB2312" w:hAnsi="仿宋" w:eastAsia="仿宋_GB2312" w:cs="仿宋_GB2312"/>
          <w:color w:val="auto"/>
          <w:sz w:val="32"/>
          <w:szCs w:val="32"/>
        </w:rPr>
        <w:t>3.确定审核范围。</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明确界定重大行政执法决定的审核范围，编制行政处罚执法行为的《重大执法决定法制审核目录清单》。</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4.明确审核内容。重点审核行政执法主体是否合法、行政执法人员是否具备执法资格、主要事实是否清楚、证据是否确凿充分、适用法律法规规章是否准确、执行裁量基准是否适当、程序是否合法、是否有超越职权范围或滥用职权情形、行政执法文书是否规范齐备、违法行为是否涉嫌犯罪需要移送司法机关以及其他应审核的内容。</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lang w:eastAsia="zh-CN"/>
        </w:rPr>
        <w:t>四</w:t>
      </w:r>
      <w:r>
        <w:rPr>
          <w:rFonts w:hint="eastAsia" w:ascii="黑体" w:hAnsi="黑体" w:eastAsia="黑体" w:cs="黑体"/>
          <w:color w:val="auto"/>
          <w:sz w:val="32"/>
          <w:szCs w:val="32"/>
        </w:rPr>
        <w:t>、实施步骤</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楷体_GB2312"/>
          <w:b/>
          <w:color w:val="auto"/>
          <w:sz w:val="32"/>
          <w:szCs w:val="32"/>
        </w:rPr>
      </w:pPr>
      <w:r>
        <w:rPr>
          <w:rFonts w:hint="eastAsia" w:ascii="仿宋_GB2312" w:hAnsi="仿宋" w:eastAsia="仿宋_GB2312" w:cs="楷体_GB2312"/>
          <w:b/>
          <w:color w:val="auto"/>
          <w:sz w:val="32"/>
          <w:szCs w:val="32"/>
        </w:rPr>
        <w:t>（一）制定修订制度阶段（2020年2月-4月）</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凡本实施方案中需要制定或修订的各项制度、清单、服务指南、流程图等制度文件，必须于2020年4月底前完成。</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楷体_GB2312"/>
          <w:b/>
          <w:color w:val="auto"/>
          <w:sz w:val="32"/>
          <w:szCs w:val="32"/>
        </w:rPr>
      </w:pPr>
      <w:r>
        <w:rPr>
          <w:rFonts w:hint="eastAsia" w:ascii="仿宋_GB2312" w:hAnsi="仿宋" w:eastAsia="仿宋_GB2312" w:cs="楷体_GB2312"/>
          <w:b/>
          <w:color w:val="auto"/>
          <w:sz w:val="32"/>
          <w:szCs w:val="32"/>
        </w:rPr>
        <w:t>（二）全面实施阶段（2020年4月开始）</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自2020年4月起按照新修订完善的相关制度和工作流程，全面、严格、规范实施三项制度。在全面推行的基础上，根据工作实际，突出问题导向，对重点执法行为进行重点规范，对薄弱执法环节不断健全强化</w:t>
      </w:r>
      <w:bookmarkStart w:id="0" w:name="_GoBack"/>
      <w:bookmarkEnd w:id="0"/>
      <w:r>
        <w:rPr>
          <w:rFonts w:hint="eastAsia" w:ascii="仿宋_GB2312" w:hAnsi="仿宋"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楷体_GB2312"/>
          <w:b/>
          <w:color w:val="auto"/>
          <w:sz w:val="32"/>
          <w:szCs w:val="32"/>
        </w:rPr>
      </w:pPr>
      <w:r>
        <w:rPr>
          <w:rFonts w:hint="eastAsia" w:ascii="仿宋_GB2312" w:hAnsi="仿宋" w:eastAsia="仿宋_GB2312" w:cs="楷体_GB2312"/>
          <w:b/>
          <w:color w:val="auto"/>
          <w:sz w:val="32"/>
          <w:szCs w:val="32"/>
        </w:rPr>
        <w:t>（三）总结验收阶段（2020年10月-11月）</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2020年11月底前将行政执法三项制度工作总结报送县司法局。</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0" w:firstLineChars="200"/>
        <w:jc w:val="both"/>
        <w:textAlignment w:val="auto"/>
        <w:outlineLvl w:val="9"/>
        <w:rPr>
          <w:rFonts w:hint="eastAsia" w:ascii="黑体" w:hAnsi="黑体" w:eastAsia="黑体" w:cs="黑体"/>
          <w:b w:val="0"/>
          <w:bCs w:val="0"/>
          <w:color w:val="auto"/>
          <w:sz w:val="32"/>
          <w:szCs w:val="32"/>
        </w:rPr>
      </w:pPr>
      <w:r>
        <w:rPr>
          <w:rFonts w:hint="eastAsia" w:ascii="黑体" w:hAnsi="黑体" w:eastAsia="黑体" w:cs="黑体"/>
          <w:b w:val="0"/>
          <w:bCs w:val="0"/>
          <w:color w:val="auto"/>
          <w:kern w:val="0"/>
          <w:sz w:val="32"/>
          <w:szCs w:val="32"/>
          <w:lang w:eastAsia="zh-CN"/>
        </w:rPr>
        <w:t>五</w:t>
      </w:r>
      <w:r>
        <w:rPr>
          <w:rFonts w:hint="eastAsia" w:ascii="黑体" w:hAnsi="黑体" w:eastAsia="黑体" w:cs="黑体"/>
          <w:b w:val="0"/>
          <w:bCs w:val="0"/>
          <w:color w:val="auto"/>
          <w:kern w:val="0"/>
          <w:sz w:val="32"/>
          <w:szCs w:val="32"/>
        </w:rPr>
        <w:t>、工作要求</w:t>
      </w:r>
    </w:p>
    <w:p>
      <w:pPr>
        <w:keepNext w:val="0"/>
        <w:keepLines w:val="0"/>
        <w:pageBreakBefore w:val="0"/>
        <w:widowControl w:val="0"/>
        <w:kinsoku/>
        <w:wordWrap/>
        <w:overflowPunct/>
        <w:topLinePunct w:val="0"/>
        <w:autoSpaceDE/>
        <w:autoSpaceDN/>
        <w:bidi w:val="0"/>
        <w:adjustRightInd/>
        <w:snapToGrid/>
        <w:spacing w:beforeAutospacing="0" w:line="600" w:lineRule="exact"/>
        <w:ind w:firstLine="643" w:firstLineChars="200"/>
        <w:jc w:val="both"/>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楷体_GB2312"/>
          <w:b/>
          <w:color w:val="auto"/>
          <w:sz w:val="32"/>
          <w:szCs w:val="32"/>
        </w:rPr>
        <w:t>1.强化统筹衔接。</w:t>
      </w:r>
      <w:r>
        <w:rPr>
          <w:rFonts w:hint="eastAsia" w:ascii="仿宋_GB2312" w:hAnsi="仿宋" w:eastAsia="仿宋_GB2312" w:cs="仿宋_GB2312"/>
          <w:color w:val="auto"/>
          <w:sz w:val="32"/>
          <w:szCs w:val="32"/>
        </w:rPr>
        <w:t>局机关各相关股室要根据具体任务迅速部署“三项制度”工作，与今年开展的推进“放管服”改革、规范行政执法程序、</w:t>
      </w:r>
      <w:r>
        <w:rPr>
          <w:rFonts w:hint="eastAsia" w:ascii="仿宋_GB2312" w:hAnsi="仿宋" w:eastAsia="仿宋_GB2312" w:cs="仿宋_GB2312"/>
          <w:color w:val="auto"/>
          <w:sz w:val="32"/>
          <w:szCs w:val="32"/>
          <w:lang w:eastAsia="zh-CN"/>
        </w:rPr>
        <w:t>优化营商环境、</w:t>
      </w:r>
      <w:r>
        <w:rPr>
          <w:rFonts w:hint="eastAsia" w:ascii="仿宋_GB2312" w:hAnsi="仿宋" w:eastAsia="仿宋_GB2312" w:cs="仿宋_GB2312"/>
          <w:color w:val="auto"/>
          <w:sz w:val="32"/>
          <w:szCs w:val="32"/>
        </w:rPr>
        <w:t>实行行政执法人员持证上岗和资格管理制度等政府法治建设的重点任务相结合，规范林业行政执法活动，确保各项制度落到实处，见到实效。</w:t>
      </w:r>
    </w:p>
    <w:p>
      <w:pPr>
        <w:keepNext w:val="0"/>
        <w:keepLines w:val="0"/>
        <w:pageBreakBefore w:val="0"/>
        <w:widowControl w:val="0"/>
        <w:shd w:val="clear" w:color="auto" w:fill="FFFFFF"/>
        <w:kinsoku/>
        <w:wordWrap/>
        <w:overflowPunct/>
        <w:topLinePunct w:val="0"/>
        <w:autoSpaceDE/>
        <w:autoSpaceDN/>
        <w:bidi w:val="0"/>
        <w:adjustRightInd/>
        <w:snapToGrid/>
        <w:spacing w:before="100" w:beforeAutospacing="0" w:after="300" w:line="600" w:lineRule="exact"/>
        <w:ind w:firstLine="643" w:firstLineChars="200"/>
        <w:jc w:val="both"/>
        <w:textAlignment w:val="auto"/>
        <w:outlineLvl w:val="9"/>
        <w:rPr>
          <w:rFonts w:hint="eastAsia" w:ascii="仿宋_GB2312" w:hAnsi="微软雅黑" w:eastAsia="仿宋_GB2312" w:cs="宋体"/>
          <w:color w:val="auto"/>
          <w:kern w:val="0"/>
          <w:sz w:val="32"/>
          <w:szCs w:val="32"/>
        </w:rPr>
      </w:pPr>
      <w:r>
        <w:rPr>
          <w:rFonts w:hint="eastAsia" w:ascii="仿宋_GB2312" w:hAnsi="微软雅黑" w:eastAsia="仿宋_GB2312" w:cs="宋体"/>
          <w:b/>
          <w:bCs/>
          <w:color w:val="auto"/>
          <w:kern w:val="0"/>
          <w:sz w:val="32"/>
          <w:szCs w:val="32"/>
          <w:shd w:val="clear" w:color="auto" w:fill="FFFFFF"/>
        </w:rPr>
        <w:t>2.强化监督</w:t>
      </w:r>
      <w:r>
        <w:rPr>
          <w:rFonts w:hint="eastAsia" w:ascii="仿宋_GB2312" w:hAnsi="微软雅黑" w:eastAsia="仿宋_GB2312" w:cs="宋体"/>
          <w:b/>
          <w:bCs/>
          <w:color w:val="auto"/>
          <w:kern w:val="0"/>
          <w:sz w:val="32"/>
          <w:szCs w:val="32"/>
          <w:shd w:val="clear" w:color="auto" w:fill="FFFFFF"/>
          <w:lang w:eastAsia="zh-CN"/>
        </w:rPr>
        <w:t>考核</w:t>
      </w:r>
      <w:r>
        <w:rPr>
          <w:rFonts w:hint="eastAsia" w:ascii="仿宋_GB2312" w:hAnsi="微软雅黑" w:eastAsia="仿宋_GB2312" w:cs="宋体"/>
          <w:b/>
          <w:bCs/>
          <w:color w:val="auto"/>
          <w:kern w:val="0"/>
          <w:sz w:val="32"/>
          <w:szCs w:val="32"/>
          <w:shd w:val="clear" w:color="auto" w:fill="FFFFFF"/>
        </w:rPr>
        <w:t>。</w:t>
      </w:r>
      <w:r>
        <w:rPr>
          <w:rFonts w:hint="eastAsia" w:ascii="仿宋_GB2312" w:hAnsi="微软雅黑" w:eastAsia="仿宋_GB2312" w:cs="宋体"/>
          <w:color w:val="auto"/>
          <w:kern w:val="0"/>
          <w:sz w:val="32"/>
          <w:szCs w:val="32"/>
          <w:shd w:val="clear" w:color="auto" w:fill="FFFFFF"/>
        </w:rPr>
        <w:t>局行政执法“三项制度”推进工作领导小组将组织“三项制度”专项监督检查，建立专项督查通报制度</w:t>
      </w:r>
      <w:r>
        <w:rPr>
          <w:rFonts w:hint="eastAsia" w:ascii="仿宋_GB2312" w:hAnsi="微软雅黑" w:eastAsia="仿宋_GB2312" w:cs="宋体"/>
          <w:color w:val="auto"/>
          <w:kern w:val="0"/>
          <w:sz w:val="32"/>
          <w:szCs w:val="32"/>
          <w:shd w:val="clear" w:color="auto" w:fill="FFFFFF"/>
          <w:lang w:eastAsia="zh-CN"/>
        </w:rPr>
        <w:t>。</w:t>
      </w:r>
      <w:r>
        <w:rPr>
          <w:rFonts w:hint="eastAsia" w:ascii="仿宋_GB2312" w:hAnsi="微软雅黑" w:eastAsia="仿宋_GB2312" w:cs="宋体"/>
          <w:color w:val="auto"/>
          <w:kern w:val="0"/>
          <w:sz w:val="32"/>
          <w:szCs w:val="32"/>
          <w:shd w:val="clear" w:color="auto" w:fill="FFFFFF"/>
        </w:rPr>
        <w:t>对“三项制度”建设不全面、不具体，报送情况不及时、不准确，实施过程不规范、不到位的局相关单位，要进行通报</w:t>
      </w:r>
      <w:r>
        <w:rPr>
          <w:rFonts w:hint="eastAsia" w:ascii="仿宋_GB2312" w:hAnsi="微软雅黑" w:eastAsia="仿宋_GB2312" w:cs="宋体"/>
          <w:color w:val="auto"/>
          <w:kern w:val="0"/>
          <w:sz w:val="32"/>
          <w:szCs w:val="32"/>
          <w:shd w:val="clear" w:color="auto" w:fill="FFFFFF"/>
          <w:lang w:eastAsia="zh-CN"/>
        </w:rPr>
        <w:t>，</w:t>
      </w:r>
      <w:r>
        <w:rPr>
          <w:rFonts w:hint="eastAsia" w:ascii="仿宋_GB2312" w:hAnsi="微软雅黑" w:eastAsia="仿宋_GB2312" w:cs="宋体"/>
          <w:color w:val="auto"/>
          <w:kern w:val="0"/>
          <w:sz w:val="32"/>
          <w:szCs w:val="32"/>
          <w:shd w:val="clear" w:color="auto" w:fill="FFFFFF"/>
        </w:rPr>
        <w:t>并</w:t>
      </w:r>
      <w:r>
        <w:rPr>
          <w:rFonts w:hint="eastAsia" w:ascii="仿宋_GB2312" w:hAnsi="微软雅黑" w:eastAsia="仿宋_GB2312" w:cs="宋体"/>
          <w:color w:val="auto"/>
          <w:kern w:val="0"/>
          <w:sz w:val="32"/>
          <w:szCs w:val="32"/>
          <w:shd w:val="clear" w:color="auto" w:fill="FFFFFF"/>
          <w:lang w:eastAsia="zh-CN"/>
        </w:rPr>
        <w:t>将全面推行“三项制度”推进工作落实情况纳入</w:t>
      </w:r>
      <w:r>
        <w:rPr>
          <w:rFonts w:hint="eastAsia" w:ascii="仿宋_GB2312" w:hAnsi="微软雅黑" w:eastAsia="仿宋_GB2312" w:cs="宋体"/>
          <w:color w:val="auto"/>
          <w:kern w:val="0"/>
          <w:sz w:val="32"/>
          <w:szCs w:val="32"/>
          <w:shd w:val="clear" w:color="auto" w:fill="FFFFFF"/>
          <w:lang w:val="en-US" w:eastAsia="zh-CN"/>
        </w:rPr>
        <w:t>2020年度绩效考核内容。</w:t>
      </w:r>
      <w:r>
        <w:rPr>
          <w:rFonts w:hint="eastAsia" w:ascii="仿宋_GB2312" w:hAnsi="微软雅黑" w:eastAsia="仿宋_GB2312" w:cs="宋体"/>
          <w:color w:val="auto"/>
          <w:kern w:val="0"/>
          <w:sz w:val="32"/>
          <w:szCs w:val="32"/>
          <w:shd w:val="clear" w:color="auto" w:fill="FFFFFF"/>
        </w:rPr>
        <w:t xml:space="preserve"> </w:t>
      </w: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rFonts w:hint="eastAsia" w:ascii="仿宋_GB2312" w:hAnsi="仿宋" w:eastAsia="仿宋_GB2312" w:cs="仿宋_GB2312"/>
          <w:color w:val="auto"/>
          <w:sz w:val="32"/>
          <w:szCs w:val="32"/>
        </w:rPr>
      </w:pPr>
      <w:r>
        <w:rPr>
          <w:rFonts w:hint="eastAsia" w:ascii="仿宋_GB2312" w:hAnsi="仿宋" w:eastAsia="仿宋_GB2312" w:cs="仿宋_GB2312"/>
          <w:color w:val="auto"/>
          <w:sz w:val="32"/>
          <w:szCs w:val="32"/>
        </w:rPr>
        <w:t>附件：桃江县林业局全面推行“三项制度”任务分解表</w:t>
      </w: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rFonts w:hint="eastAsia" w:ascii="仿宋_GB2312" w:hAnsi="仿宋" w:eastAsia="仿宋_GB2312" w:cs="仿宋_GB2312"/>
          <w:color w:val="auto"/>
          <w:sz w:val="32"/>
          <w:szCs w:val="32"/>
        </w:rPr>
      </w:pPr>
    </w:p>
    <w:p>
      <w:pPr>
        <w:spacing w:line="620" w:lineRule="exact"/>
        <w:ind w:firstLine="640" w:firstLineChars="200"/>
        <w:rPr>
          <w:rFonts w:hint="eastAsia" w:ascii="仿宋_GB2312" w:hAnsi="仿宋" w:eastAsia="仿宋_GB2312" w:cs="仿宋_GB2312"/>
          <w:color w:val="auto"/>
          <w:sz w:val="32"/>
          <w:szCs w:val="32"/>
        </w:rPr>
      </w:pPr>
    </w:p>
    <w:p>
      <w:pPr>
        <w:spacing w:line="620" w:lineRule="exact"/>
        <w:ind w:firstLine="640" w:firstLineChars="200"/>
        <w:rPr>
          <w:rFonts w:hint="eastAsia" w:ascii="仿宋_GB2312" w:hAnsi="仿宋" w:eastAsia="仿宋_GB2312" w:cs="仿宋_GB2312"/>
          <w:color w:val="auto"/>
          <w:sz w:val="32"/>
          <w:szCs w:val="32"/>
        </w:rPr>
        <w:sectPr>
          <w:footerReference r:id="rId6" w:type="default"/>
          <w:footerReference r:id="rId7" w:type="even"/>
          <w:pgSz w:w="11906" w:h="16838"/>
          <w:pgMar w:top="2098" w:right="1474" w:bottom="1985" w:left="1588" w:header="851" w:footer="992" w:gutter="0"/>
          <w:pgNumType w:fmt="decimal"/>
          <w:cols w:space="720" w:num="1"/>
          <w:titlePg/>
          <w:docGrid w:type="lines" w:linePitch="312" w:charSpace="0"/>
        </w:sectPr>
      </w:pPr>
    </w:p>
    <w:tbl>
      <w:tblPr>
        <w:tblStyle w:val="9"/>
        <w:tblW w:w="12960" w:type="dxa"/>
        <w:tblInd w:w="0" w:type="dxa"/>
        <w:tblLayout w:type="fixed"/>
        <w:tblCellMar>
          <w:top w:w="28" w:type="dxa"/>
          <w:left w:w="57" w:type="dxa"/>
          <w:bottom w:w="28" w:type="dxa"/>
          <w:right w:w="57" w:type="dxa"/>
        </w:tblCellMar>
      </w:tblPr>
      <w:tblGrid>
        <w:gridCol w:w="675"/>
        <w:gridCol w:w="1432"/>
        <w:gridCol w:w="5130"/>
        <w:gridCol w:w="3893"/>
        <w:gridCol w:w="1830"/>
      </w:tblGrid>
      <w:tr>
        <w:tblPrEx>
          <w:tblLayout w:type="fixed"/>
          <w:tblCellMar>
            <w:top w:w="28" w:type="dxa"/>
            <w:left w:w="57" w:type="dxa"/>
            <w:bottom w:w="28" w:type="dxa"/>
            <w:right w:w="57" w:type="dxa"/>
          </w:tblCellMar>
        </w:tblPrEx>
        <w:trPr>
          <w:trHeight w:val="286" w:hRule="atLeast"/>
        </w:trPr>
        <w:tc>
          <w:tcPr>
            <w:tcW w:w="675" w:type="dxa"/>
            <w:noWrap w:val="0"/>
            <w:vAlign w:val="center"/>
          </w:tcPr>
          <w:p>
            <w:pPr>
              <w:widowControl/>
              <w:spacing w:line="300" w:lineRule="exact"/>
              <w:jc w:val="left"/>
              <w:textAlignment w:val="center"/>
              <w:rPr>
                <w:rFonts w:ascii="宋体" w:cs="宋体"/>
                <w:color w:val="auto"/>
                <w:sz w:val="24"/>
              </w:rPr>
            </w:pPr>
            <w:r>
              <w:rPr>
                <w:rFonts w:hint="eastAsia" w:ascii="宋体" w:hAnsi="宋体" w:cs="宋体"/>
                <w:color w:val="auto"/>
                <w:kern w:val="0"/>
                <w:sz w:val="24"/>
              </w:rPr>
              <w:t>附件</w:t>
            </w:r>
          </w:p>
        </w:tc>
        <w:tc>
          <w:tcPr>
            <w:tcW w:w="1432" w:type="dxa"/>
            <w:noWrap w:val="0"/>
            <w:vAlign w:val="center"/>
          </w:tcPr>
          <w:p>
            <w:pPr>
              <w:widowControl/>
              <w:spacing w:line="300" w:lineRule="exact"/>
              <w:rPr>
                <w:rFonts w:ascii="宋体" w:cs="宋体"/>
                <w:color w:val="auto"/>
                <w:sz w:val="24"/>
              </w:rPr>
            </w:pPr>
          </w:p>
        </w:tc>
        <w:tc>
          <w:tcPr>
            <w:tcW w:w="5130" w:type="dxa"/>
            <w:noWrap w:val="0"/>
            <w:vAlign w:val="center"/>
          </w:tcPr>
          <w:p>
            <w:pPr>
              <w:widowControl/>
              <w:spacing w:line="300" w:lineRule="exact"/>
              <w:rPr>
                <w:rFonts w:ascii="宋体" w:cs="宋体"/>
                <w:color w:val="auto"/>
                <w:sz w:val="24"/>
              </w:rPr>
            </w:pPr>
          </w:p>
        </w:tc>
        <w:tc>
          <w:tcPr>
            <w:tcW w:w="3893" w:type="dxa"/>
            <w:noWrap w:val="0"/>
            <w:vAlign w:val="center"/>
          </w:tcPr>
          <w:p>
            <w:pPr>
              <w:widowControl/>
              <w:spacing w:line="300" w:lineRule="exact"/>
              <w:rPr>
                <w:rFonts w:ascii="宋体" w:cs="宋体"/>
                <w:color w:val="auto"/>
                <w:sz w:val="24"/>
              </w:rPr>
            </w:pPr>
          </w:p>
        </w:tc>
        <w:tc>
          <w:tcPr>
            <w:tcW w:w="1830" w:type="dxa"/>
            <w:noWrap w:val="0"/>
            <w:vAlign w:val="center"/>
          </w:tcPr>
          <w:p>
            <w:pPr>
              <w:widowControl/>
              <w:spacing w:line="300" w:lineRule="exact"/>
              <w:rPr>
                <w:rFonts w:ascii="宋体" w:cs="宋体"/>
                <w:color w:val="auto"/>
                <w:sz w:val="24"/>
              </w:rPr>
            </w:pPr>
          </w:p>
        </w:tc>
      </w:tr>
      <w:tr>
        <w:tblPrEx>
          <w:tblLayout w:type="fixed"/>
          <w:tblCellMar>
            <w:top w:w="28" w:type="dxa"/>
            <w:left w:w="57" w:type="dxa"/>
            <w:bottom w:w="28" w:type="dxa"/>
            <w:right w:w="57" w:type="dxa"/>
          </w:tblCellMar>
        </w:tblPrEx>
        <w:trPr>
          <w:trHeight w:val="750" w:hRule="atLeast"/>
        </w:trPr>
        <w:tc>
          <w:tcPr>
            <w:tcW w:w="12960" w:type="dxa"/>
            <w:gridSpan w:val="5"/>
            <w:noWrap w:val="0"/>
            <w:vAlign w:val="center"/>
          </w:tcPr>
          <w:p>
            <w:pPr>
              <w:widowControl/>
              <w:spacing w:line="500" w:lineRule="exact"/>
              <w:jc w:val="center"/>
              <w:textAlignment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kern w:val="0"/>
                <w:sz w:val="44"/>
                <w:szCs w:val="44"/>
              </w:rPr>
              <w:t>桃江县林业局全面推行“三项制度”任务分解表</w:t>
            </w:r>
          </w:p>
        </w:tc>
      </w:tr>
      <w:tr>
        <w:tblPrEx>
          <w:tblLayout w:type="fixed"/>
          <w:tblCellMar>
            <w:top w:w="28" w:type="dxa"/>
            <w:left w:w="57" w:type="dxa"/>
            <w:bottom w:w="28" w:type="dxa"/>
            <w:right w:w="57" w:type="dxa"/>
          </w:tblCellMar>
        </w:tblPrEx>
        <w:trPr>
          <w:trHeight w:val="450"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序号</w:t>
            </w:r>
          </w:p>
        </w:tc>
        <w:tc>
          <w:tcPr>
            <w:tcW w:w="14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工作任务</w:t>
            </w:r>
            <w:r>
              <w:rPr>
                <w:rFonts w:ascii="宋体" w:hAnsi="宋体" w:cs="宋体"/>
                <w:color w:val="auto"/>
                <w:kern w:val="0"/>
                <w:szCs w:val="21"/>
              </w:rPr>
              <w:t xml:space="preserve"> </w:t>
            </w:r>
          </w:p>
        </w:tc>
        <w:tc>
          <w:tcPr>
            <w:tcW w:w="5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具体要求</w:t>
            </w:r>
          </w:p>
        </w:tc>
        <w:tc>
          <w:tcPr>
            <w:tcW w:w="38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责任单位</w:t>
            </w:r>
          </w:p>
        </w:tc>
        <w:tc>
          <w:tcPr>
            <w:tcW w:w="18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完成时限</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519" w:hRule="atLeast"/>
        </w:trPr>
        <w:tc>
          <w:tcPr>
            <w:tcW w:w="675" w:type="dxa"/>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ascii="宋体" w:hAnsi="宋体" w:cs="宋体"/>
                <w:color w:val="auto"/>
                <w:kern w:val="0"/>
                <w:szCs w:val="21"/>
              </w:rPr>
              <w:t>l</w:t>
            </w:r>
          </w:p>
        </w:tc>
        <w:tc>
          <w:tcPr>
            <w:tcW w:w="1432" w:type="dxa"/>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建章立制</w:t>
            </w:r>
            <w:r>
              <w:rPr>
                <w:rFonts w:ascii="宋体" w:hAnsi="宋体" w:cs="宋体"/>
                <w:color w:val="auto"/>
                <w:kern w:val="0"/>
                <w:szCs w:val="21"/>
              </w:rPr>
              <w:t xml:space="preserve"> </w:t>
            </w:r>
          </w:p>
        </w:tc>
        <w:tc>
          <w:tcPr>
            <w:tcW w:w="513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kern w:val="0"/>
                <w:szCs w:val="21"/>
              </w:rPr>
              <w:t>制定桃江县林业局全面推行“三项制度”实施方案</w:t>
            </w:r>
          </w:p>
        </w:tc>
        <w:tc>
          <w:tcPr>
            <w:tcW w:w="389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cs="宋体"/>
                <w:color w:val="auto"/>
                <w:szCs w:val="21"/>
              </w:rPr>
              <w:t>政策法规股</w:t>
            </w:r>
          </w:p>
        </w:tc>
        <w:tc>
          <w:tcPr>
            <w:tcW w:w="1830" w:type="dxa"/>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hint="eastAsia" w:ascii="宋体" w:eastAsia="宋体" w:cs="宋体"/>
                <w:color w:val="auto"/>
                <w:szCs w:val="21"/>
                <w:lang w:val="en-US" w:eastAsia="zh-CN"/>
              </w:rPr>
            </w:pPr>
            <w:r>
              <w:rPr>
                <w:rFonts w:hint="eastAsia" w:ascii="宋体" w:hAnsi="宋体" w:cs="宋体"/>
                <w:color w:val="auto"/>
                <w:kern w:val="0"/>
                <w:szCs w:val="21"/>
                <w:lang w:eastAsia="zh-CN"/>
              </w:rPr>
              <w:t>实施方案于</w:t>
            </w:r>
            <w:r>
              <w:rPr>
                <w:rFonts w:hint="eastAsia" w:ascii="宋体" w:hAnsi="宋体" w:cs="宋体"/>
                <w:color w:val="auto"/>
                <w:kern w:val="0"/>
                <w:szCs w:val="21"/>
                <w:lang w:val="en-US" w:eastAsia="zh-CN"/>
              </w:rPr>
              <w:t>2月底完成</w:t>
            </w:r>
          </w:p>
        </w:tc>
      </w:tr>
      <w:tr>
        <w:tblPrEx>
          <w:tblLayout w:type="fixed"/>
          <w:tblCellMar>
            <w:top w:w="28" w:type="dxa"/>
            <w:left w:w="57" w:type="dxa"/>
            <w:bottom w:w="28" w:type="dxa"/>
            <w:right w:w="57" w:type="dxa"/>
          </w:tblCellMar>
        </w:tblPrEx>
        <w:trPr>
          <w:trHeight w:val="90" w:hRule="atLeast"/>
        </w:trPr>
        <w:tc>
          <w:tcPr>
            <w:tcW w:w="675" w:type="dxa"/>
            <w:tcBorders>
              <w:top w:val="single" w:color="auto"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hint="eastAsia" w:ascii="宋体" w:eastAsia="宋体" w:cs="宋体"/>
                <w:color w:val="auto"/>
                <w:kern w:val="0"/>
                <w:szCs w:val="21"/>
                <w:lang w:val="en-US" w:eastAsia="zh-CN"/>
              </w:rPr>
            </w:pPr>
            <w:r>
              <w:rPr>
                <w:rFonts w:hint="eastAsia" w:ascii="宋体" w:cs="宋体"/>
                <w:color w:val="auto"/>
                <w:kern w:val="0"/>
                <w:szCs w:val="21"/>
                <w:lang w:val="en-US" w:eastAsia="zh-CN"/>
              </w:rPr>
              <w:t>2</w:t>
            </w:r>
          </w:p>
        </w:tc>
        <w:tc>
          <w:tcPr>
            <w:tcW w:w="1432" w:type="dxa"/>
            <w:tcBorders>
              <w:top w:val="single" w:color="auto"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kern w:val="0"/>
                <w:szCs w:val="21"/>
              </w:rPr>
            </w:pPr>
            <w:r>
              <w:rPr>
                <w:rFonts w:hint="eastAsia" w:ascii="宋体" w:hAnsi="宋体" w:cs="宋体"/>
                <w:color w:val="auto"/>
                <w:kern w:val="0"/>
                <w:szCs w:val="21"/>
              </w:rPr>
              <w:t>落实执法</w:t>
            </w:r>
            <w:r>
              <w:rPr>
                <w:rFonts w:ascii="宋体" w:cs="宋体"/>
                <w:color w:val="auto"/>
                <w:kern w:val="0"/>
                <w:szCs w:val="21"/>
              </w:rPr>
              <w:br w:type="textWrapping"/>
            </w:r>
            <w:r>
              <w:rPr>
                <w:rFonts w:hint="eastAsia" w:ascii="宋体" w:hAnsi="宋体" w:cs="宋体"/>
                <w:color w:val="auto"/>
                <w:kern w:val="0"/>
                <w:szCs w:val="21"/>
              </w:rPr>
              <w:t>公示责任</w:t>
            </w:r>
          </w:p>
        </w:tc>
        <w:tc>
          <w:tcPr>
            <w:tcW w:w="5130"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color w:val="auto"/>
                <w:kern w:val="0"/>
                <w:szCs w:val="21"/>
                <w:lang w:eastAsia="zh-CN"/>
              </w:rPr>
            </w:pPr>
            <w:r>
              <w:rPr>
                <w:rFonts w:hint="eastAsia" w:ascii="宋体" w:hAnsi="宋体" w:cs="宋体"/>
                <w:color w:val="auto"/>
                <w:kern w:val="0"/>
                <w:szCs w:val="21"/>
                <w:lang w:eastAsia="zh-CN"/>
              </w:rPr>
              <w:t>对所有行政执法行为（行政许可、行政处罚、行政征收、行政给付、行政检查、行政强制）等实行事前、事中、事后公示。</w:t>
            </w:r>
          </w:p>
        </w:tc>
        <w:tc>
          <w:tcPr>
            <w:tcW w:w="3893"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hint="eastAsia" w:ascii="宋体" w:eastAsia="宋体" w:cs="宋体"/>
                <w:color w:val="auto"/>
                <w:szCs w:val="21"/>
                <w:lang w:eastAsia="zh-CN"/>
              </w:rPr>
            </w:pPr>
            <w:r>
              <w:rPr>
                <w:rFonts w:hint="eastAsia" w:ascii="宋体" w:cs="宋体"/>
                <w:color w:val="auto"/>
                <w:szCs w:val="21"/>
                <w:lang w:eastAsia="zh-CN"/>
              </w:rPr>
              <w:t>相关股室</w:t>
            </w:r>
          </w:p>
        </w:tc>
        <w:tc>
          <w:tcPr>
            <w:tcW w:w="1830" w:type="dxa"/>
            <w:vMerge w:val="continue"/>
            <w:tcBorders>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kern w:val="0"/>
                <w:szCs w:val="21"/>
              </w:rPr>
            </w:pPr>
          </w:p>
        </w:tc>
      </w:tr>
      <w:tr>
        <w:tblPrEx>
          <w:tblLayout w:type="fixed"/>
          <w:tblCellMar>
            <w:top w:w="28" w:type="dxa"/>
            <w:left w:w="57" w:type="dxa"/>
            <w:bottom w:w="28" w:type="dxa"/>
            <w:right w:w="57" w:type="dxa"/>
          </w:tblCellMar>
        </w:tblPrEx>
        <w:trPr>
          <w:trHeight w:val="469" w:hRule="atLeast"/>
        </w:trPr>
        <w:tc>
          <w:tcPr>
            <w:tcW w:w="675" w:type="dxa"/>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hint="eastAsia" w:ascii="宋体" w:eastAsia="宋体" w:cs="宋体"/>
                <w:color w:val="auto"/>
                <w:szCs w:val="21"/>
                <w:lang w:val="en-US" w:eastAsia="zh-CN"/>
              </w:rPr>
            </w:pPr>
            <w:r>
              <w:rPr>
                <w:rFonts w:hint="eastAsia" w:ascii="宋体" w:cs="宋体"/>
                <w:color w:val="auto"/>
                <w:szCs w:val="21"/>
                <w:lang w:val="en-US" w:eastAsia="zh-CN"/>
              </w:rPr>
              <w:t>3</w:t>
            </w:r>
          </w:p>
        </w:tc>
        <w:tc>
          <w:tcPr>
            <w:tcW w:w="1432" w:type="dxa"/>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强化事前公开</w:t>
            </w:r>
            <w:r>
              <w:rPr>
                <w:rFonts w:ascii="宋体" w:hAnsi="宋体" w:cs="宋体"/>
                <w:color w:val="auto"/>
                <w:kern w:val="0"/>
                <w:szCs w:val="21"/>
              </w:rPr>
              <w:t xml:space="preserve"> </w:t>
            </w:r>
          </w:p>
        </w:tc>
        <w:tc>
          <w:tcPr>
            <w:tcW w:w="5130"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kern w:val="0"/>
                <w:szCs w:val="21"/>
              </w:rPr>
              <w:t>关于机构、编制、人员的“三定”方案公布</w:t>
            </w:r>
          </w:p>
        </w:tc>
        <w:tc>
          <w:tcPr>
            <w:tcW w:w="3893"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szCs w:val="21"/>
              </w:rPr>
              <w:t>人事股、政务公开办</w:t>
            </w:r>
          </w:p>
        </w:tc>
        <w:tc>
          <w:tcPr>
            <w:tcW w:w="1830" w:type="dxa"/>
            <w:vMerge w:val="restart"/>
            <w:tcBorders>
              <w:top w:val="single" w:color="000000" w:sz="4" w:space="0"/>
              <w:left w:val="single" w:color="000000" w:sz="4" w:space="0"/>
              <w:bottom w:val="nil"/>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hint="eastAsia" w:ascii="宋体" w:eastAsia="宋体" w:cs="宋体"/>
                <w:color w:val="auto"/>
                <w:szCs w:val="21"/>
                <w:lang w:val="en-US" w:eastAsia="zh-CN"/>
              </w:rPr>
            </w:pPr>
            <w:r>
              <w:rPr>
                <w:rFonts w:hint="eastAsia" w:ascii="宋体" w:cs="宋体"/>
                <w:color w:val="auto"/>
                <w:szCs w:val="21"/>
                <w:lang w:val="en-US" w:eastAsia="zh-CN"/>
              </w:rPr>
              <w:t>2020年4月底前完成</w:t>
            </w:r>
          </w:p>
        </w:tc>
      </w:tr>
      <w:tr>
        <w:tblPrEx>
          <w:tblLayout w:type="fixed"/>
          <w:tblCellMar>
            <w:top w:w="28" w:type="dxa"/>
            <w:left w:w="57" w:type="dxa"/>
            <w:bottom w:w="28" w:type="dxa"/>
            <w:right w:w="57" w:type="dxa"/>
          </w:tblCellMar>
        </w:tblPrEx>
        <w:trPr>
          <w:trHeight w:val="90" w:hRule="atLeast"/>
        </w:trPr>
        <w:tc>
          <w:tcPr>
            <w:tcW w:w="675" w:type="dxa"/>
            <w:vMerge w:val="continue"/>
            <w:tcBorders>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hint="eastAsia" w:ascii="宋体" w:eastAsia="宋体" w:cs="宋体"/>
                <w:color w:val="auto"/>
                <w:kern w:val="0"/>
                <w:szCs w:val="21"/>
                <w:lang w:val="en-US" w:eastAsia="zh-CN"/>
              </w:rPr>
            </w:pPr>
          </w:p>
        </w:tc>
        <w:tc>
          <w:tcPr>
            <w:tcW w:w="1432" w:type="dxa"/>
            <w:vMerge w:val="continue"/>
            <w:tcBorders>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kern w:val="0"/>
                <w:szCs w:val="21"/>
              </w:rPr>
            </w:pPr>
          </w:p>
        </w:tc>
        <w:tc>
          <w:tcPr>
            <w:tcW w:w="5130"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kern w:val="0"/>
                <w:szCs w:val="21"/>
              </w:rPr>
            </w:pPr>
            <w:r>
              <w:rPr>
                <w:rFonts w:ascii="宋体" w:hAnsi="宋体" w:cs="宋体"/>
                <w:color w:val="auto"/>
                <w:kern w:val="0"/>
                <w:szCs w:val="21"/>
              </w:rPr>
              <w:t xml:space="preserve"> </w:t>
            </w:r>
            <w:r>
              <w:rPr>
                <w:rFonts w:hint="eastAsia" w:ascii="宋体" w:hAnsi="宋体" w:cs="宋体"/>
                <w:color w:val="auto"/>
                <w:kern w:val="0"/>
                <w:szCs w:val="21"/>
              </w:rPr>
              <w:t>编制服务指南、行政执法事项清单、执法流程图，经合法性审核后，按“互联网</w:t>
            </w:r>
            <w:r>
              <w:rPr>
                <w:rFonts w:ascii="宋体" w:hAnsi="宋体" w:cs="宋体"/>
                <w:color w:val="auto"/>
                <w:kern w:val="0"/>
                <w:szCs w:val="21"/>
              </w:rPr>
              <w:t>+</w:t>
            </w:r>
            <w:r>
              <w:rPr>
                <w:rFonts w:hint="eastAsia" w:ascii="宋体" w:hAnsi="宋体" w:cs="宋体"/>
                <w:color w:val="auto"/>
                <w:kern w:val="0"/>
                <w:szCs w:val="21"/>
              </w:rPr>
              <w:t>政务服务”</w:t>
            </w:r>
            <w:r>
              <w:rPr>
                <w:rFonts w:ascii="宋体" w:hAnsi="宋体" w:cs="宋体"/>
                <w:color w:val="auto"/>
                <w:kern w:val="0"/>
                <w:szCs w:val="21"/>
              </w:rPr>
              <w:t xml:space="preserve"> </w:t>
            </w:r>
            <w:r>
              <w:rPr>
                <w:rFonts w:hint="eastAsia" w:ascii="宋体" w:hAnsi="宋体" w:cs="宋体"/>
                <w:color w:val="auto"/>
                <w:kern w:val="0"/>
                <w:szCs w:val="21"/>
              </w:rPr>
              <w:t>一体化平台运行要求，在桃江公众信息网统一公示。</w:t>
            </w:r>
          </w:p>
        </w:tc>
        <w:tc>
          <w:tcPr>
            <w:tcW w:w="3893"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szCs w:val="21"/>
              </w:rPr>
              <w:t>林业政务窗口负责牵头、汇总；执法大队、森林资源股、应急管理股、产业与科技发展股、造林股、野保股、财务股、自然保护地股等负责编制各自执法内容</w:t>
            </w:r>
            <w:r>
              <w:rPr>
                <w:rFonts w:hint="eastAsia" w:ascii="宋体" w:hAnsi="宋体" w:cs="宋体"/>
                <w:color w:val="auto"/>
                <w:szCs w:val="21"/>
                <w:lang w:eastAsia="zh-CN"/>
              </w:rPr>
              <w:t>的服务指南、事项清单、流程图</w:t>
            </w:r>
            <w:r>
              <w:rPr>
                <w:rFonts w:hint="eastAsia" w:ascii="宋体" w:hAnsi="宋体" w:cs="宋体"/>
                <w:color w:val="auto"/>
                <w:szCs w:val="21"/>
              </w:rPr>
              <w:t>；政策法规股负责审核并报司法局备案；政务公开办负责发布。</w:t>
            </w:r>
          </w:p>
        </w:tc>
        <w:tc>
          <w:tcPr>
            <w:tcW w:w="1830" w:type="dxa"/>
            <w:vMerge w:val="continue"/>
            <w:tcBorders>
              <w:left w:val="single" w:color="000000" w:sz="4" w:space="0"/>
              <w:bottom w:val="nil"/>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kern w:val="0"/>
                <w:szCs w:val="21"/>
              </w:rPr>
            </w:pPr>
          </w:p>
        </w:tc>
      </w:tr>
      <w:tr>
        <w:tblPrEx>
          <w:tblLayout w:type="fixed"/>
          <w:tblCellMar>
            <w:top w:w="28" w:type="dxa"/>
            <w:left w:w="57" w:type="dxa"/>
            <w:bottom w:w="28" w:type="dxa"/>
            <w:right w:w="57" w:type="dxa"/>
          </w:tblCellMar>
        </w:tblPrEx>
        <w:trPr>
          <w:trHeight w:val="360" w:hRule="atLeast"/>
        </w:trPr>
        <w:tc>
          <w:tcPr>
            <w:tcW w:w="675" w:type="dxa"/>
            <w:vMerge w:val="continue"/>
            <w:tcBorders>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hint="eastAsia" w:ascii="宋体" w:eastAsia="宋体" w:cs="宋体"/>
                <w:color w:val="auto"/>
                <w:kern w:val="0"/>
                <w:szCs w:val="21"/>
                <w:lang w:val="en-US" w:eastAsia="zh-CN"/>
              </w:rPr>
            </w:pPr>
          </w:p>
        </w:tc>
        <w:tc>
          <w:tcPr>
            <w:tcW w:w="1432" w:type="dxa"/>
            <w:vMerge w:val="continue"/>
            <w:tcBorders>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kern w:val="0"/>
                <w:szCs w:val="21"/>
              </w:rPr>
            </w:pPr>
          </w:p>
        </w:tc>
        <w:tc>
          <w:tcPr>
            <w:tcW w:w="5130"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kern w:val="0"/>
                <w:szCs w:val="21"/>
              </w:rPr>
            </w:pPr>
            <w:r>
              <w:rPr>
                <w:rFonts w:hint="eastAsia" w:ascii="宋体" w:hAnsi="宋体" w:cs="宋体"/>
                <w:color w:val="auto"/>
                <w:kern w:val="0"/>
                <w:szCs w:val="21"/>
              </w:rPr>
              <w:t>林业行政执法人员相关信息、林业行政执法救济方式清单</w:t>
            </w:r>
          </w:p>
        </w:tc>
        <w:tc>
          <w:tcPr>
            <w:tcW w:w="3893"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szCs w:val="21"/>
              </w:rPr>
              <w:t>由政策法规股负责编制，政务公开办负责发布。</w:t>
            </w:r>
          </w:p>
        </w:tc>
        <w:tc>
          <w:tcPr>
            <w:tcW w:w="1830" w:type="dxa"/>
            <w:vMerge w:val="continue"/>
            <w:tcBorders>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kern w:val="0"/>
                <w:szCs w:val="21"/>
              </w:rPr>
            </w:pPr>
          </w:p>
        </w:tc>
      </w:tr>
      <w:tr>
        <w:tblPrEx>
          <w:tblLayout w:type="fixed"/>
          <w:tblCellMar>
            <w:top w:w="28" w:type="dxa"/>
            <w:left w:w="57" w:type="dxa"/>
            <w:bottom w:w="28" w:type="dxa"/>
            <w:right w:w="57" w:type="dxa"/>
          </w:tblCellMar>
        </w:tblPrEx>
        <w:trPr>
          <w:trHeight w:val="575" w:hRule="atLeast"/>
        </w:trPr>
        <w:tc>
          <w:tcPr>
            <w:tcW w:w="675" w:type="dxa"/>
            <w:vMerge w:val="continue"/>
            <w:tcBorders>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kern w:val="0"/>
                <w:szCs w:val="21"/>
              </w:rPr>
            </w:pPr>
          </w:p>
        </w:tc>
        <w:tc>
          <w:tcPr>
            <w:tcW w:w="1432" w:type="dxa"/>
            <w:vMerge w:val="continue"/>
            <w:tcBorders>
              <w:left w:val="single" w:color="000000" w:sz="4" w:space="0"/>
              <w:bottom w:val="nil"/>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kern w:val="0"/>
                <w:szCs w:val="21"/>
              </w:rPr>
            </w:pPr>
          </w:p>
        </w:tc>
        <w:tc>
          <w:tcPr>
            <w:tcW w:w="5130" w:type="dxa"/>
            <w:tcBorders>
              <w:top w:val="single" w:color="auto" w:sz="4" w:space="0"/>
              <w:left w:val="single" w:color="000000" w:sz="4" w:space="0"/>
              <w:bottom w:val="nil"/>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kern w:val="0"/>
                <w:szCs w:val="21"/>
              </w:rPr>
            </w:pPr>
            <w:r>
              <w:rPr>
                <w:rFonts w:hint="eastAsia" w:ascii="宋体" w:cs="宋体"/>
                <w:color w:val="auto"/>
                <w:kern w:val="0"/>
                <w:szCs w:val="21"/>
              </w:rPr>
              <w:t>国家企业信用公示系统相关信息公示</w:t>
            </w:r>
          </w:p>
        </w:tc>
        <w:tc>
          <w:tcPr>
            <w:tcW w:w="3893" w:type="dxa"/>
            <w:tcBorders>
              <w:top w:val="single" w:color="auto" w:sz="4" w:space="0"/>
              <w:left w:val="single" w:color="000000" w:sz="4" w:space="0"/>
              <w:bottom w:val="nil"/>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szCs w:val="21"/>
                <w:lang w:eastAsia="zh-CN"/>
              </w:rPr>
              <w:t>按市监局要求上报，</w:t>
            </w:r>
            <w:r>
              <w:rPr>
                <w:rFonts w:hint="eastAsia" w:ascii="宋体" w:hAnsi="宋体" w:cs="宋体"/>
                <w:color w:val="auto"/>
                <w:szCs w:val="21"/>
              </w:rPr>
              <w:t>执法大队、林业政务窗口</w:t>
            </w:r>
          </w:p>
        </w:tc>
        <w:tc>
          <w:tcPr>
            <w:tcW w:w="1830" w:type="dxa"/>
            <w:tcBorders>
              <w:top w:val="single" w:color="auto" w:sz="4" w:space="0"/>
              <w:left w:val="single" w:color="000000" w:sz="4" w:space="0"/>
              <w:bottom w:val="nil"/>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hint="eastAsia" w:ascii="宋体" w:eastAsia="宋体" w:cs="宋体"/>
                <w:color w:val="auto"/>
                <w:kern w:val="0"/>
                <w:szCs w:val="21"/>
                <w:lang w:eastAsia="zh-CN"/>
              </w:rPr>
            </w:pPr>
            <w:r>
              <w:rPr>
                <w:rFonts w:hint="eastAsia" w:ascii="宋体" w:cs="宋体"/>
                <w:color w:val="auto"/>
                <w:kern w:val="0"/>
                <w:szCs w:val="21"/>
                <w:lang w:eastAsia="zh-CN"/>
              </w:rPr>
              <w:t>持续推进</w:t>
            </w:r>
          </w:p>
        </w:tc>
      </w:tr>
      <w:tr>
        <w:tblPrEx>
          <w:tblLayout w:type="fixed"/>
          <w:tblCellMar>
            <w:top w:w="28" w:type="dxa"/>
            <w:left w:w="57" w:type="dxa"/>
            <w:bottom w:w="28" w:type="dxa"/>
            <w:right w:w="57" w:type="dxa"/>
          </w:tblCellMar>
        </w:tblPrEx>
        <w:trPr>
          <w:trHeight w:val="400" w:hRule="atLeast"/>
        </w:trPr>
        <w:tc>
          <w:tcPr>
            <w:tcW w:w="675" w:type="dxa"/>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hint="eastAsia" w:ascii="宋体" w:eastAsia="宋体" w:cs="宋体"/>
                <w:color w:val="auto"/>
                <w:szCs w:val="21"/>
                <w:lang w:val="en-US" w:eastAsia="zh-CN"/>
              </w:rPr>
            </w:pPr>
            <w:r>
              <w:rPr>
                <w:rFonts w:hint="eastAsia" w:ascii="宋体" w:cs="宋体"/>
                <w:color w:val="auto"/>
                <w:szCs w:val="21"/>
                <w:lang w:val="en-US" w:eastAsia="zh-CN"/>
              </w:rPr>
              <w:t>4</w:t>
            </w:r>
          </w:p>
        </w:tc>
        <w:tc>
          <w:tcPr>
            <w:tcW w:w="14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规范事中公示</w:t>
            </w:r>
            <w:r>
              <w:rPr>
                <w:rFonts w:ascii="宋体" w:hAnsi="宋体" w:cs="宋体"/>
                <w:color w:val="auto"/>
                <w:kern w:val="0"/>
                <w:szCs w:val="21"/>
              </w:rPr>
              <w:t xml:space="preserve"> </w:t>
            </w:r>
          </w:p>
        </w:tc>
        <w:tc>
          <w:tcPr>
            <w:tcW w:w="5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严格执行行政执法人员持证上岗制度；</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从事执法活动时，主动出示行政执法证件、行政执法文书，告知当事人权利义务等内容，按规定统一着装、佩戴标识；</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政务服务窗口规范设置岗位信息公示牌。</w:t>
            </w:r>
          </w:p>
        </w:tc>
        <w:tc>
          <w:tcPr>
            <w:tcW w:w="3893" w:type="dxa"/>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szCs w:val="21"/>
              </w:rPr>
              <w:t>执法大队、林业政务窗口</w:t>
            </w:r>
          </w:p>
        </w:tc>
        <w:tc>
          <w:tcPr>
            <w:tcW w:w="1830" w:type="dxa"/>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cs="宋体"/>
                <w:color w:val="auto"/>
                <w:kern w:val="0"/>
                <w:szCs w:val="21"/>
                <w:lang w:eastAsia="zh-CN"/>
              </w:rPr>
              <w:t>持续推进</w:t>
            </w:r>
          </w:p>
        </w:tc>
      </w:tr>
      <w:tr>
        <w:tblPrEx>
          <w:tblLayout w:type="fixed"/>
          <w:tblCellMar>
            <w:top w:w="28" w:type="dxa"/>
            <w:left w:w="57" w:type="dxa"/>
            <w:bottom w:w="28" w:type="dxa"/>
            <w:right w:w="57" w:type="dxa"/>
          </w:tblCellMar>
        </w:tblPrEx>
        <w:trPr>
          <w:trHeight w:val="108" w:hRule="atLeast"/>
        </w:trPr>
        <w:tc>
          <w:tcPr>
            <w:tcW w:w="675"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hint="eastAsia" w:ascii="宋体" w:eastAsia="宋体" w:cs="宋体"/>
                <w:color w:val="auto"/>
                <w:szCs w:val="21"/>
                <w:lang w:val="en-US" w:eastAsia="zh-CN"/>
              </w:rPr>
            </w:pPr>
            <w:r>
              <w:rPr>
                <w:rFonts w:hint="eastAsia" w:ascii="宋体" w:cs="宋体"/>
                <w:color w:val="auto"/>
                <w:szCs w:val="21"/>
                <w:lang w:val="en-US" w:eastAsia="zh-CN"/>
              </w:rPr>
              <w:t>5</w:t>
            </w:r>
          </w:p>
        </w:tc>
        <w:tc>
          <w:tcPr>
            <w:tcW w:w="14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center"/>
              <w:outlineLvl w:val="9"/>
              <w:rPr>
                <w:rFonts w:ascii="宋体" w:cs="宋体"/>
                <w:color w:val="auto"/>
                <w:szCs w:val="21"/>
              </w:rPr>
            </w:pPr>
            <w:r>
              <w:rPr>
                <w:rFonts w:hint="eastAsia" w:ascii="宋体" w:hAnsi="宋体" w:cs="宋体"/>
                <w:color w:val="auto"/>
                <w:kern w:val="0"/>
                <w:szCs w:val="21"/>
              </w:rPr>
              <w:t>加强事后公开</w:t>
            </w:r>
            <w:r>
              <w:rPr>
                <w:rFonts w:ascii="宋体" w:hAnsi="宋体" w:cs="宋体"/>
                <w:color w:val="auto"/>
                <w:kern w:val="0"/>
                <w:szCs w:val="21"/>
              </w:rPr>
              <w:t xml:space="preserve"> </w:t>
            </w:r>
          </w:p>
        </w:tc>
        <w:tc>
          <w:tcPr>
            <w:tcW w:w="51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行政执法决定作出后，在规定期限内公布行政执法相关信息；</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建立健全执法决定信息公开发布、撤销和更新机制；</w:t>
            </w:r>
          </w:p>
        </w:tc>
        <w:tc>
          <w:tcPr>
            <w:tcW w:w="38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hint="eastAsia" w:ascii="宋体" w:eastAsia="宋体" w:cs="宋体"/>
                <w:color w:val="auto"/>
                <w:szCs w:val="21"/>
                <w:lang w:eastAsia="zh-CN"/>
              </w:rPr>
            </w:pPr>
            <w:r>
              <w:rPr>
                <w:rFonts w:hint="eastAsia" w:ascii="宋体" w:hAnsi="宋体" w:cs="宋体"/>
                <w:color w:val="auto"/>
                <w:szCs w:val="21"/>
              </w:rPr>
              <w:t>执法大队、林业政务窗口、政务公开办</w:t>
            </w:r>
            <w:r>
              <w:rPr>
                <w:rFonts w:hint="eastAsia" w:ascii="宋体" w:hAnsi="宋体" w:cs="宋体"/>
                <w:color w:val="auto"/>
                <w:szCs w:val="21"/>
                <w:lang w:eastAsia="zh-CN"/>
              </w:rPr>
              <w:t>、各相关业务股室</w:t>
            </w:r>
          </w:p>
        </w:tc>
        <w:tc>
          <w:tcPr>
            <w:tcW w:w="18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jc w:val="left"/>
              <w:textAlignment w:val="center"/>
              <w:outlineLvl w:val="9"/>
              <w:rPr>
                <w:rFonts w:ascii="宋体" w:cs="宋体"/>
                <w:color w:val="auto"/>
                <w:szCs w:val="21"/>
              </w:rPr>
            </w:pPr>
            <w:r>
              <w:rPr>
                <w:rFonts w:hint="eastAsia" w:ascii="宋体" w:hAnsi="宋体" w:cs="宋体"/>
                <w:color w:val="auto"/>
                <w:kern w:val="0"/>
                <w:szCs w:val="21"/>
              </w:rPr>
              <w:t>持续推进</w:t>
            </w:r>
          </w:p>
        </w:tc>
      </w:tr>
    </w:tbl>
    <w:p>
      <w:pPr>
        <w:keepNext w:val="0"/>
        <w:keepLines w:val="0"/>
        <w:pageBreakBefore w:val="0"/>
        <w:kinsoku/>
        <w:wordWrap/>
        <w:overflowPunct/>
        <w:topLinePunct w:val="0"/>
        <w:autoSpaceDE/>
        <w:autoSpaceDN/>
        <w:bidi w:val="0"/>
        <w:adjustRightInd/>
        <w:snapToGrid/>
        <w:spacing w:line="240" w:lineRule="exact"/>
        <w:outlineLvl w:val="9"/>
      </w:pPr>
    </w:p>
    <w:tbl>
      <w:tblPr>
        <w:tblStyle w:val="9"/>
        <w:tblW w:w="12975" w:type="dxa"/>
        <w:tblInd w:w="0" w:type="dxa"/>
        <w:tblLayout w:type="fixed"/>
        <w:tblCellMar>
          <w:top w:w="28" w:type="dxa"/>
          <w:left w:w="57" w:type="dxa"/>
          <w:bottom w:w="28" w:type="dxa"/>
          <w:right w:w="57" w:type="dxa"/>
        </w:tblCellMar>
      </w:tblPr>
      <w:tblGrid>
        <w:gridCol w:w="660"/>
        <w:gridCol w:w="1681"/>
        <w:gridCol w:w="6674"/>
        <w:gridCol w:w="2130"/>
        <w:gridCol w:w="1830"/>
      </w:tblGrid>
      <w:tr>
        <w:tblPrEx>
          <w:tblLayout w:type="fixed"/>
          <w:tblCellMar>
            <w:top w:w="28" w:type="dxa"/>
            <w:left w:w="57" w:type="dxa"/>
            <w:bottom w:w="28" w:type="dxa"/>
            <w:right w:w="57" w:type="dxa"/>
          </w:tblCellMar>
        </w:tblPrEx>
        <w:trPr>
          <w:trHeight w:val="501"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序号</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工作任务</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具体要求</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责任分工</w:t>
            </w:r>
          </w:p>
        </w:tc>
        <w:tc>
          <w:tcPr>
            <w:tcW w:w="183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完成时限</w:t>
            </w:r>
          </w:p>
        </w:tc>
      </w:tr>
      <w:tr>
        <w:tblPrEx>
          <w:tblLayout w:type="fixed"/>
          <w:tblCellMar>
            <w:top w:w="28" w:type="dxa"/>
            <w:left w:w="57" w:type="dxa"/>
            <w:bottom w:w="28" w:type="dxa"/>
            <w:right w:w="57" w:type="dxa"/>
          </w:tblCellMar>
        </w:tblPrEx>
        <w:trPr>
          <w:trHeight w:val="501"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宋体" w:hAnsi="宋体" w:eastAsia="宋体" w:cs="宋体"/>
                <w:color w:val="auto"/>
                <w:kern w:val="0"/>
                <w:szCs w:val="21"/>
                <w:lang w:eastAsia="zh-CN"/>
              </w:rPr>
            </w:pPr>
            <w:r>
              <w:rPr>
                <w:rFonts w:hint="eastAsia" w:ascii="宋体" w:hAnsi="宋体" w:cs="宋体"/>
                <w:color w:val="auto"/>
                <w:kern w:val="0"/>
                <w:szCs w:val="21"/>
                <w:lang w:val="en-US" w:eastAsia="zh-CN"/>
              </w:rPr>
              <w:t>6</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宋体" w:hAnsi="宋体" w:cs="宋体"/>
                <w:color w:val="auto"/>
                <w:kern w:val="0"/>
                <w:szCs w:val="21"/>
              </w:rPr>
            </w:pPr>
            <w:r>
              <w:rPr>
                <w:rFonts w:hint="eastAsia" w:ascii="宋体" w:hAnsi="宋体" w:cs="宋体"/>
                <w:color w:val="auto"/>
                <w:kern w:val="0"/>
                <w:szCs w:val="21"/>
              </w:rPr>
              <w:t>落实执法全过</w:t>
            </w:r>
            <w:r>
              <w:rPr>
                <w:rFonts w:ascii="宋体" w:cs="宋体"/>
                <w:color w:val="auto"/>
                <w:kern w:val="0"/>
                <w:szCs w:val="21"/>
              </w:rPr>
              <w:br w:type="textWrapping"/>
            </w:r>
            <w:r>
              <w:rPr>
                <w:rFonts w:hint="eastAsia" w:ascii="宋体" w:hAnsi="宋体" w:cs="宋体"/>
                <w:color w:val="auto"/>
                <w:kern w:val="0"/>
                <w:szCs w:val="21"/>
              </w:rPr>
              <w:t>程记录责任</w:t>
            </w:r>
            <w:r>
              <w:rPr>
                <w:rFonts w:ascii="宋体" w:hAnsi="宋体" w:cs="宋体"/>
                <w:color w:val="auto"/>
                <w:kern w:val="0"/>
                <w:szCs w:val="21"/>
              </w:rPr>
              <w:t xml:space="preserve"> </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textAlignment w:val="center"/>
              <w:rPr>
                <w:rFonts w:hint="eastAsia" w:ascii="宋体" w:hAnsi="宋体" w:cs="宋体"/>
                <w:color w:val="auto"/>
                <w:kern w:val="0"/>
                <w:szCs w:val="21"/>
              </w:rPr>
            </w:pPr>
            <w:r>
              <w:rPr>
                <w:rFonts w:hint="eastAsia" w:ascii="宋体" w:hAnsi="宋体" w:cs="宋体"/>
                <w:color w:val="auto"/>
                <w:kern w:val="0"/>
                <w:szCs w:val="21"/>
              </w:rPr>
              <w:t>对行政执法全过程进行记录，并全面系统归档保存。</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textAlignment w:val="center"/>
              <w:rPr>
                <w:rFonts w:hint="eastAsia" w:ascii="宋体" w:hAnsi="宋体" w:cs="宋体"/>
                <w:color w:val="auto"/>
                <w:kern w:val="0"/>
                <w:szCs w:val="21"/>
              </w:rPr>
            </w:pPr>
            <w:r>
              <w:rPr>
                <w:rFonts w:hint="eastAsia" w:ascii="宋体" w:hAnsi="宋体" w:cs="宋体"/>
                <w:color w:val="auto"/>
                <w:szCs w:val="21"/>
              </w:rPr>
              <w:t>执法大队</w:t>
            </w:r>
          </w:p>
        </w:tc>
        <w:tc>
          <w:tcPr>
            <w:tcW w:w="183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textAlignment w:val="center"/>
              <w:rPr>
                <w:rFonts w:hint="eastAsia" w:ascii="宋体" w:hAnsi="宋体" w:cs="宋体"/>
                <w:color w:val="auto"/>
                <w:kern w:val="0"/>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986" w:hRule="atLeast"/>
        </w:trPr>
        <w:tc>
          <w:tcPr>
            <w:tcW w:w="660"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7</w:t>
            </w:r>
          </w:p>
        </w:tc>
        <w:tc>
          <w:tcPr>
            <w:tcW w:w="1681" w:type="dxa"/>
            <w:tcBorders>
              <w:top w:val="single" w:color="000000" w:sz="4" w:space="0"/>
              <w:left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完善文字记录</w:t>
            </w:r>
          </w:p>
        </w:tc>
        <w:tc>
          <w:tcPr>
            <w:tcW w:w="6674"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使用执法规范用语和运用执法文书制作指引；</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使用执法文书格式文本；</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落实行政执法说明理由制度，</w:t>
            </w:r>
          </w:p>
        </w:tc>
        <w:tc>
          <w:tcPr>
            <w:tcW w:w="21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执法大队</w:t>
            </w:r>
          </w:p>
          <w:p>
            <w:pPr>
              <w:widowControl/>
              <w:jc w:val="left"/>
              <w:textAlignment w:val="center"/>
              <w:rPr>
                <w:rFonts w:ascii="宋体" w:cs="宋体"/>
                <w:color w:val="auto"/>
                <w:szCs w:val="21"/>
              </w:rPr>
            </w:pPr>
          </w:p>
        </w:tc>
        <w:tc>
          <w:tcPr>
            <w:tcW w:w="18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cs="宋体"/>
                <w:color w:val="auto"/>
                <w:kern w:val="0"/>
                <w:szCs w:val="21"/>
                <w:lang w:eastAsia="zh-CN"/>
              </w:rPr>
              <w:t>持续推进</w:t>
            </w:r>
          </w:p>
        </w:tc>
      </w:tr>
      <w:tr>
        <w:tblPrEx>
          <w:tblLayout w:type="fixed"/>
          <w:tblCellMar>
            <w:top w:w="28" w:type="dxa"/>
            <w:left w:w="57" w:type="dxa"/>
            <w:bottom w:w="28" w:type="dxa"/>
            <w:right w:w="57" w:type="dxa"/>
          </w:tblCellMar>
        </w:tblPrEx>
        <w:trPr>
          <w:trHeight w:val="990" w:hRule="atLeast"/>
        </w:trPr>
        <w:tc>
          <w:tcPr>
            <w:tcW w:w="660"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8</w:t>
            </w:r>
          </w:p>
        </w:tc>
        <w:tc>
          <w:tcPr>
            <w:tcW w:w="1681" w:type="dxa"/>
            <w:tcBorders>
              <w:top w:val="single" w:color="000000" w:sz="4" w:space="0"/>
              <w:left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规范音像记录</w:t>
            </w:r>
          </w:p>
        </w:tc>
        <w:tc>
          <w:tcPr>
            <w:tcW w:w="6674"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合理配备音像记录设备；</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明确音像记录范围；</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加强音像记录管理。</w:t>
            </w:r>
            <w:r>
              <w:rPr>
                <w:rFonts w:ascii="宋体" w:hAnsi="宋体" w:cs="宋体"/>
                <w:color w:val="auto"/>
                <w:kern w:val="0"/>
                <w:szCs w:val="21"/>
              </w:rPr>
              <w:t xml:space="preserve"> </w:t>
            </w:r>
          </w:p>
        </w:tc>
        <w:tc>
          <w:tcPr>
            <w:tcW w:w="21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执法大队</w:t>
            </w:r>
          </w:p>
          <w:p>
            <w:pPr>
              <w:widowControl/>
              <w:jc w:val="left"/>
              <w:textAlignment w:val="center"/>
              <w:rPr>
                <w:rFonts w:ascii="宋体" w:cs="宋体"/>
                <w:color w:val="auto"/>
                <w:szCs w:val="21"/>
              </w:rPr>
            </w:pPr>
          </w:p>
        </w:tc>
        <w:tc>
          <w:tcPr>
            <w:tcW w:w="18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90" w:hRule="atLeast"/>
        </w:trPr>
        <w:tc>
          <w:tcPr>
            <w:tcW w:w="660"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9</w:t>
            </w:r>
          </w:p>
        </w:tc>
        <w:tc>
          <w:tcPr>
            <w:tcW w:w="1681" w:type="dxa"/>
            <w:tcBorders>
              <w:top w:val="single" w:color="000000" w:sz="4" w:space="0"/>
              <w:left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严格记录归档</w:t>
            </w:r>
          </w:p>
        </w:tc>
        <w:tc>
          <w:tcPr>
            <w:tcW w:w="6674"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完善执法案卷管理制度，按规定归档保存执法全过程记录资料；</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积极探索信息记录储存方式；</w:t>
            </w:r>
            <w:r>
              <w:rPr>
                <w:rFonts w:asci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建立健全行政执法全过程数据化记录工作机制。</w:t>
            </w:r>
          </w:p>
        </w:tc>
        <w:tc>
          <w:tcPr>
            <w:tcW w:w="2130" w:type="dxa"/>
            <w:tcBorders>
              <w:top w:val="single" w:color="000000" w:sz="4" w:space="0"/>
              <w:left w:val="single" w:color="000000" w:sz="4" w:space="0"/>
              <w:right w:val="single" w:color="000000" w:sz="4" w:space="0"/>
            </w:tcBorders>
            <w:noWrap w:val="0"/>
            <w:vAlign w:val="center"/>
          </w:tcPr>
          <w:p>
            <w:pPr>
              <w:widowControl/>
              <w:jc w:val="both"/>
              <w:textAlignment w:val="center"/>
              <w:rPr>
                <w:rFonts w:ascii="宋体" w:cs="宋体"/>
                <w:color w:val="auto"/>
                <w:szCs w:val="21"/>
              </w:rPr>
            </w:pPr>
            <w:r>
              <w:rPr>
                <w:rFonts w:hint="eastAsia" w:ascii="宋体" w:hAnsi="宋体" w:cs="宋体"/>
                <w:color w:val="auto"/>
                <w:szCs w:val="21"/>
              </w:rPr>
              <w:t>执法大队</w:t>
            </w:r>
          </w:p>
        </w:tc>
        <w:tc>
          <w:tcPr>
            <w:tcW w:w="18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750" w:hRule="atLeast"/>
        </w:trPr>
        <w:tc>
          <w:tcPr>
            <w:tcW w:w="660"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10</w:t>
            </w:r>
          </w:p>
        </w:tc>
        <w:tc>
          <w:tcPr>
            <w:tcW w:w="1681" w:type="dxa"/>
            <w:tcBorders>
              <w:top w:val="single" w:color="000000" w:sz="4" w:space="0"/>
              <w:left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发挥记录作用</w:t>
            </w:r>
          </w:p>
        </w:tc>
        <w:tc>
          <w:tcPr>
            <w:tcW w:w="6674"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加强对记录资料的统计分析，充分发挥全过程记录信息的积极作用；</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建立健全记录信息调阅监督制度，</w:t>
            </w:r>
          </w:p>
        </w:tc>
        <w:tc>
          <w:tcPr>
            <w:tcW w:w="2130" w:type="dxa"/>
            <w:tcBorders>
              <w:top w:val="single" w:color="000000" w:sz="4" w:space="0"/>
              <w:left w:val="single" w:color="000000" w:sz="4" w:space="0"/>
              <w:right w:val="single" w:color="000000" w:sz="4" w:space="0"/>
            </w:tcBorders>
            <w:noWrap w:val="0"/>
            <w:vAlign w:val="center"/>
          </w:tcPr>
          <w:p>
            <w:pPr>
              <w:widowControl/>
              <w:jc w:val="both"/>
              <w:textAlignment w:val="center"/>
              <w:rPr>
                <w:rFonts w:ascii="宋体" w:cs="宋体"/>
                <w:color w:val="auto"/>
                <w:szCs w:val="21"/>
              </w:rPr>
            </w:pPr>
            <w:r>
              <w:rPr>
                <w:rFonts w:hint="eastAsia" w:ascii="宋体" w:hAnsi="宋体" w:cs="宋体"/>
                <w:color w:val="auto"/>
                <w:szCs w:val="21"/>
              </w:rPr>
              <w:t>执法大队</w:t>
            </w:r>
          </w:p>
        </w:tc>
        <w:tc>
          <w:tcPr>
            <w:tcW w:w="18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570" w:hRule="atLeast"/>
        </w:trPr>
        <w:tc>
          <w:tcPr>
            <w:tcW w:w="660"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11</w:t>
            </w:r>
          </w:p>
        </w:tc>
        <w:tc>
          <w:tcPr>
            <w:tcW w:w="1681" w:type="dxa"/>
            <w:tcBorders>
              <w:top w:val="single" w:color="000000" w:sz="4" w:space="0"/>
              <w:left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严格落实法制</w:t>
            </w:r>
            <w:r>
              <w:rPr>
                <w:rFonts w:ascii="宋体" w:cs="宋体"/>
                <w:color w:val="auto"/>
                <w:kern w:val="0"/>
                <w:szCs w:val="21"/>
              </w:rPr>
              <w:br w:type="textWrapping"/>
            </w:r>
            <w:r>
              <w:rPr>
                <w:rFonts w:hint="eastAsia" w:ascii="宋体" w:hAnsi="宋体" w:cs="宋体"/>
                <w:color w:val="auto"/>
                <w:kern w:val="0"/>
                <w:szCs w:val="21"/>
              </w:rPr>
              <w:t>审核制度</w:t>
            </w:r>
          </w:p>
        </w:tc>
        <w:tc>
          <w:tcPr>
            <w:tcW w:w="6674"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未经法制审核或者审核未通过的，不得作出重大执法决定。</w:t>
            </w:r>
          </w:p>
        </w:tc>
        <w:tc>
          <w:tcPr>
            <w:tcW w:w="21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政策法规股、执法大队</w:t>
            </w:r>
          </w:p>
        </w:tc>
        <w:tc>
          <w:tcPr>
            <w:tcW w:w="18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1426" w:hRule="atLeast"/>
        </w:trPr>
        <w:tc>
          <w:tcPr>
            <w:tcW w:w="660" w:type="dxa"/>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12</w:t>
            </w:r>
          </w:p>
        </w:tc>
        <w:tc>
          <w:tcPr>
            <w:tcW w:w="1681" w:type="dxa"/>
            <w:tcBorders>
              <w:top w:val="single" w:color="000000" w:sz="4" w:space="0"/>
              <w:left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明确审核机构</w:t>
            </w:r>
          </w:p>
        </w:tc>
        <w:tc>
          <w:tcPr>
            <w:tcW w:w="6674"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明确法制审核的具体工作机构；</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配强法制审核岗位工作力量，法制审核人员不少于本单位执法人员总数的</w:t>
            </w:r>
            <w:r>
              <w:rPr>
                <w:rFonts w:ascii="宋体" w:hAnsi="宋体" w:cs="宋体"/>
                <w:color w:val="auto"/>
                <w:kern w:val="0"/>
                <w:szCs w:val="21"/>
              </w:rPr>
              <w:t xml:space="preserve">5%; </w:t>
            </w:r>
            <w:r>
              <w:rPr>
                <w:rFonts w:ascii="宋体" w:hAns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充分发挥法律顾问、公职律师在法制审核工作中的作用；</w:t>
            </w:r>
            <w:r>
              <w:rPr>
                <w:rFonts w:ascii="宋体" w:cs="宋体"/>
                <w:color w:val="auto"/>
                <w:kern w:val="0"/>
                <w:szCs w:val="21"/>
              </w:rPr>
              <w:br w:type="textWrapping"/>
            </w:r>
            <w:r>
              <w:rPr>
                <w:rFonts w:ascii="宋体" w:hAnsi="宋体" w:cs="宋体"/>
                <w:color w:val="auto"/>
                <w:kern w:val="0"/>
                <w:szCs w:val="21"/>
              </w:rPr>
              <w:t>(4)</w:t>
            </w:r>
            <w:r>
              <w:rPr>
                <w:rFonts w:hint="eastAsia" w:ascii="宋体" w:hAnsi="宋体" w:cs="宋体"/>
                <w:color w:val="auto"/>
                <w:kern w:val="0"/>
                <w:szCs w:val="21"/>
              </w:rPr>
              <w:t>建立健全系统内法律顾问、公职律师统筹调用机制。</w:t>
            </w:r>
          </w:p>
        </w:tc>
        <w:tc>
          <w:tcPr>
            <w:tcW w:w="21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政策法规股、人事股</w:t>
            </w:r>
          </w:p>
        </w:tc>
        <w:tc>
          <w:tcPr>
            <w:tcW w:w="1830" w:type="dxa"/>
            <w:tcBorders>
              <w:top w:val="single" w:color="000000" w:sz="4" w:space="0"/>
              <w:left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cs="宋体"/>
                <w:color w:val="auto"/>
                <w:kern w:val="0"/>
                <w:szCs w:val="21"/>
                <w:lang w:eastAsia="zh-CN"/>
              </w:rPr>
              <w:t>持续推进</w:t>
            </w:r>
            <w:r>
              <w:rPr>
                <w:rFonts w:ascii="宋体" w:cs="宋体"/>
                <w:color w:val="auto"/>
                <w:kern w:val="0"/>
                <w:szCs w:val="21"/>
              </w:rPr>
              <w:br w:type="textWrapping"/>
            </w:r>
          </w:p>
        </w:tc>
      </w:tr>
      <w:tr>
        <w:tblPrEx>
          <w:tblLayout w:type="fixed"/>
          <w:tblCellMar>
            <w:top w:w="28" w:type="dxa"/>
            <w:left w:w="57" w:type="dxa"/>
            <w:bottom w:w="28" w:type="dxa"/>
            <w:right w:w="57" w:type="dxa"/>
          </w:tblCellMar>
        </w:tblPrEx>
        <w:trPr>
          <w:trHeight w:val="855"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13</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明确审核范围</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制定重大执法决定法制审核目录清单；</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加强对执法单位的指导与监督，明确重大执法决定事项的标准。</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政策法规股</w:t>
            </w:r>
          </w:p>
        </w:tc>
        <w:tc>
          <w:tcPr>
            <w:tcW w:w="1830" w:type="dxa"/>
            <w:tcBorders>
              <w:top w:val="single" w:color="000000" w:sz="4" w:space="0"/>
              <w:left w:val="single" w:color="000000" w:sz="4" w:space="0"/>
              <w:bottom w:val="single" w:color="000000" w:sz="4" w:space="0"/>
              <w:right w:val="single" w:color="000000" w:sz="4" w:space="0"/>
            </w:tcBorders>
            <w:noWrap w:val="0"/>
            <w:vAlign w:val="center"/>
          </w:tcPr>
          <w:p>
            <w:pPr>
              <w:widowControl/>
              <w:jc w:val="both"/>
              <w:textAlignment w:val="center"/>
              <w:rPr>
                <w:rFonts w:ascii="宋体" w:cs="宋体"/>
                <w:color w:val="auto"/>
                <w:szCs w:val="21"/>
              </w:rPr>
            </w:pPr>
            <w:r>
              <w:rPr>
                <w:rFonts w:hint="eastAsia" w:ascii="宋体" w:cs="宋体"/>
                <w:color w:val="auto"/>
                <w:kern w:val="0"/>
                <w:szCs w:val="21"/>
                <w:lang w:eastAsia="zh-CN"/>
              </w:rPr>
              <w:t>持续推进</w:t>
            </w:r>
            <w:r>
              <w:rPr>
                <w:rFonts w:ascii="宋体" w:hAnsi="宋体" w:cs="宋体"/>
                <w:color w:val="auto"/>
                <w:kern w:val="0"/>
                <w:szCs w:val="21"/>
              </w:rPr>
              <w:t xml:space="preserve"> </w:t>
            </w:r>
          </w:p>
        </w:tc>
      </w:tr>
    </w:tbl>
    <w:p/>
    <w:tbl>
      <w:tblPr>
        <w:tblStyle w:val="9"/>
        <w:tblW w:w="13000" w:type="dxa"/>
        <w:tblInd w:w="0" w:type="dxa"/>
        <w:tblLayout w:type="fixed"/>
        <w:tblCellMar>
          <w:top w:w="28" w:type="dxa"/>
          <w:left w:w="57" w:type="dxa"/>
          <w:bottom w:w="28" w:type="dxa"/>
          <w:right w:w="57" w:type="dxa"/>
        </w:tblCellMar>
      </w:tblPr>
      <w:tblGrid>
        <w:gridCol w:w="660"/>
        <w:gridCol w:w="1665"/>
        <w:gridCol w:w="6705"/>
        <w:gridCol w:w="2130"/>
        <w:gridCol w:w="1840"/>
      </w:tblGrid>
      <w:tr>
        <w:tblPrEx>
          <w:tblLayout w:type="fixed"/>
          <w:tblCellMar>
            <w:top w:w="28" w:type="dxa"/>
            <w:left w:w="57" w:type="dxa"/>
            <w:bottom w:w="28" w:type="dxa"/>
            <w:right w:w="57" w:type="dxa"/>
          </w:tblCellMar>
        </w:tblPrEx>
        <w:trPr>
          <w:trHeight w:val="576"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序号</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工作任务</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具体要求</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责任分工</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完成时限</w:t>
            </w:r>
          </w:p>
        </w:tc>
      </w:tr>
      <w:tr>
        <w:tblPrEx>
          <w:tblLayout w:type="fixed"/>
          <w:tblCellMar>
            <w:top w:w="28" w:type="dxa"/>
            <w:left w:w="57" w:type="dxa"/>
            <w:bottom w:w="28" w:type="dxa"/>
            <w:right w:w="57" w:type="dxa"/>
          </w:tblCellMar>
        </w:tblPrEx>
        <w:trPr>
          <w:trHeight w:val="697"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14</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明确审核内容</w:t>
            </w:r>
            <w:r>
              <w:rPr>
                <w:rFonts w:ascii="宋体" w:hAnsi="宋体" w:cs="宋体"/>
                <w:color w:val="auto"/>
                <w:kern w:val="0"/>
                <w:szCs w:val="21"/>
              </w:rPr>
              <w:t xml:space="preserve"> </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严格审核行政执法的主体、程序、案件事实、证据、适用法律等是否合法、充分、适当。</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政策法规股</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697"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15</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明确审核程序</w:t>
            </w:r>
            <w:r>
              <w:rPr>
                <w:rFonts w:ascii="宋体" w:hAnsi="宋体" w:cs="宋体"/>
                <w:color w:val="auto"/>
                <w:kern w:val="0"/>
                <w:szCs w:val="21"/>
              </w:rPr>
              <w:t xml:space="preserve"> </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制定本单位重大执法决定法制审核工作流程；</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建立健全法制审核机构与行政执法承办机构协调机制。</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政策法规股、执法大队</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cs="宋体"/>
                <w:color w:val="auto"/>
                <w:kern w:val="0"/>
                <w:szCs w:val="21"/>
                <w:lang w:eastAsia="zh-CN"/>
              </w:rPr>
              <w:t>持续推进</w:t>
            </w:r>
          </w:p>
        </w:tc>
      </w:tr>
      <w:tr>
        <w:tblPrEx>
          <w:tblLayout w:type="fixed"/>
          <w:tblCellMar>
            <w:top w:w="28" w:type="dxa"/>
            <w:left w:w="57" w:type="dxa"/>
            <w:bottom w:w="28" w:type="dxa"/>
            <w:right w:w="57" w:type="dxa"/>
          </w:tblCellMar>
        </w:tblPrEx>
        <w:trPr>
          <w:trHeight w:val="1003"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16</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明确审核责任</w:t>
            </w:r>
            <w:r>
              <w:rPr>
                <w:rFonts w:ascii="宋体" w:hAnsi="宋体" w:cs="宋体"/>
                <w:color w:val="auto"/>
                <w:kern w:val="0"/>
                <w:szCs w:val="21"/>
              </w:rPr>
              <w:t xml:space="preserve"> </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落实重大执法决定法制审核制度第一责任人责任；</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明确法制审核机构和行政执法承办机构的责任。</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政策法规股、执法大队</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1003"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17</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推进信息共事</w:t>
            </w:r>
            <w:r>
              <w:rPr>
                <w:rFonts w:ascii="宋体" w:hAnsi="宋体" w:cs="宋体"/>
                <w:color w:val="auto"/>
                <w:kern w:val="0"/>
                <w:szCs w:val="21"/>
              </w:rPr>
              <w:t xml:space="preserve"> </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加快推进跨部门执法信息系统互联互通；</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实现行政执法部门数据共享互通；</w:t>
            </w:r>
            <w:r>
              <w:rPr>
                <w:rFonts w:asci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完善行政执法数据汇集和信息共享机制。</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办公室</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697"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18</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强化智能应用</w:t>
            </w:r>
            <w:r>
              <w:rPr>
                <w:rFonts w:ascii="宋体" w:hAnsi="宋体" w:cs="宋体"/>
                <w:color w:val="auto"/>
                <w:kern w:val="0"/>
                <w:szCs w:val="21"/>
              </w:rPr>
              <w:t xml:space="preserve"> </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积极研究开发行政执法裁量智能辅助信息系统；</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加强对行政执法大致据的关联分析、深化应用。</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办公室</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1003"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19</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加强组织领导</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落实全面推行“三项制度”工作第一责任人责任；</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建立健全全面推行“三项制度”工作协调机制；</w:t>
            </w:r>
            <w:r>
              <w:rPr>
                <w:rFonts w:asci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加强对本系统全面推行“三项制度”工作的督促指导。</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全局各股室</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1157"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ascii="宋体" w:hAnsi="宋体" w:cs="宋体"/>
                <w:color w:val="auto"/>
                <w:kern w:val="0"/>
                <w:szCs w:val="21"/>
              </w:rPr>
              <w:t>20</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健全制度体系</w:t>
            </w:r>
            <w:r>
              <w:rPr>
                <w:rFonts w:ascii="宋体" w:hAnsi="宋体" w:cs="宋体"/>
                <w:color w:val="auto"/>
                <w:kern w:val="0"/>
                <w:szCs w:val="21"/>
              </w:rPr>
              <w:t xml:space="preserve"> </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研究制定全面推行“三项制度”的配套制度；</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完善行政执法有关制度机制。</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办公室、政策法规股</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717"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cs="宋体"/>
                <w:color w:val="auto"/>
                <w:szCs w:val="21"/>
                <w:lang w:val="en-US" w:eastAsia="zh-CN"/>
              </w:rPr>
              <w:t>21</w:t>
            </w:r>
          </w:p>
        </w:tc>
        <w:tc>
          <w:tcPr>
            <w:tcW w:w="166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开展培训宣传</w:t>
            </w:r>
          </w:p>
        </w:tc>
        <w:tc>
          <w:tcPr>
            <w:tcW w:w="67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(l)</w:t>
            </w:r>
            <w:r>
              <w:rPr>
                <w:rFonts w:hint="eastAsia" w:ascii="宋体" w:hAnsi="宋体" w:cs="宋体"/>
                <w:color w:val="auto"/>
                <w:kern w:val="0"/>
                <w:szCs w:val="21"/>
              </w:rPr>
              <w:t>开展“三项制度”专题学习培训；</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加强对全面推行“三项制度”的宣传。</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人事股、办公室、政策法规股</w:t>
            </w:r>
          </w:p>
        </w:tc>
        <w:tc>
          <w:tcPr>
            <w:tcW w:w="184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bl>
    <w:p>
      <w:pPr>
        <w:pStyle w:val="3"/>
        <w:spacing w:line="600" w:lineRule="exact"/>
        <w:rPr>
          <w:rFonts w:ascii="仿宋" w:hAnsi="仿宋" w:eastAsia="仿宋" w:cs="仿宋"/>
          <w:color w:val="auto"/>
          <w:sz w:val="32"/>
          <w:szCs w:val="32"/>
        </w:rPr>
      </w:pPr>
    </w:p>
    <w:tbl>
      <w:tblPr>
        <w:tblStyle w:val="9"/>
        <w:tblW w:w="13050" w:type="dxa"/>
        <w:tblInd w:w="0" w:type="dxa"/>
        <w:tblLayout w:type="fixed"/>
        <w:tblCellMar>
          <w:top w:w="28" w:type="dxa"/>
          <w:left w:w="57" w:type="dxa"/>
          <w:bottom w:w="28" w:type="dxa"/>
          <w:right w:w="57" w:type="dxa"/>
        </w:tblCellMar>
      </w:tblPr>
      <w:tblGrid>
        <w:gridCol w:w="660"/>
        <w:gridCol w:w="1681"/>
        <w:gridCol w:w="6674"/>
        <w:gridCol w:w="2130"/>
        <w:gridCol w:w="1905"/>
      </w:tblGrid>
      <w:tr>
        <w:tblPrEx>
          <w:tblLayout w:type="fixed"/>
          <w:tblCellMar>
            <w:top w:w="28" w:type="dxa"/>
            <w:left w:w="57" w:type="dxa"/>
            <w:bottom w:w="28" w:type="dxa"/>
            <w:right w:w="57" w:type="dxa"/>
          </w:tblCellMar>
        </w:tblPrEx>
        <w:trPr>
          <w:trHeight w:val="601"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序号</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工作任务</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具体要求</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责任分工</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完成时限</w:t>
            </w:r>
          </w:p>
        </w:tc>
      </w:tr>
      <w:tr>
        <w:tblPrEx>
          <w:tblLayout w:type="fixed"/>
          <w:tblCellMar>
            <w:top w:w="28" w:type="dxa"/>
            <w:left w:w="57" w:type="dxa"/>
            <w:bottom w:w="28" w:type="dxa"/>
            <w:right w:w="57" w:type="dxa"/>
          </w:tblCellMar>
        </w:tblPrEx>
        <w:trPr>
          <w:trHeight w:val="1426"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hAnsi="宋体" w:cs="宋体"/>
                <w:color w:val="auto"/>
                <w:kern w:val="0"/>
                <w:szCs w:val="21"/>
                <w:lang w:val="en-US" w:eastAsia="zh-CN"/>
              </w:rPr>
              <w:t>22</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加强督促检查</w:t>
            </w:r>
            <w:r>
              <w:rPr>
                <w:rFonts w:ascii="宋体" w:hAnsi="宋体" w:cs="宋体"/>
                <w:color w:val="auto"/>
                <w:kern w:val="0"/>
                <w:szCs w:val="21"/>
              </w:rPr>
              <w:t xml:space="preserve"> </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把全面推行“三项制度”纳入</w:t>
            </w:r>
            <w:r>
              <w:rPr>
                <w:rFonts w:ascii="宋体" w:hAnsi="宋体" w:cs="宋体"/>
                <w:color w:val="auto"/>
                <w:kern w:val="0"/>
                <w:szCs w:val="21"/>
              </w:rPr>
              <w:t>2020</w:t>
            </w:r>
            <w:r>
              <w:rPr>
                <w:rFonts w:hint="eastAsia" w:ascii="宋体" w:hAnsi="宋体" w:cs="宋体"/>
                <w:color w:val="auto"/>
                <w:kern w:val="0"/>
                <w:szCs w:val="21"/>
              </w:rPr>
              <w:t>年度绩效考核内容；</w:t>
            </w:r>
            <w:r>
              <w:rPr>
                <w:rFonts w:ascii="宋体" w:hAnsi="宋体" w:cs="宋体"/>
                <w:color w:val="auto"/>
                <w:kern w:val="0"/>
                <w:szCs w:val="21"/>
              </w:rPr>
              <w:t xml:space="preserve"> </w:t>
            </w:r>
            <w:r>
              <w:rPr>
                <w:rFonts w:ascii="宋体" w:hAns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加强对全面推行“三项制度”的指导协调，进行监督检查和跟踪评估。</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人事股、政策法规股</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p>
        </w:tc>
      </w:tr>
      <w:tr>
        <w:tblPrEx>
          <w:tblLayout w:type="fixed"/>
          <w:tblCellMar>
            <w:top w:w="28" w:type="dxa"/>
            <w:left w:w="57" w:type="dxa"/>
            <w:bottom w:w="28" w:type="dxa"/>
            <w:right w:w="57" w:type="dxa"/>
          </w:tblCellMar>
        </w:tblPrEx>
        <w:trPr>
          <w:trHeight w:val="1140"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val="en-US" w:eastAsia="zh-CN"/>
              </w:rPr>
            </w:pPr>
            <w:r>
              <w:rPr>
                <w:rFonts w:hint="eastAsia" w:ascii="宋体" w:hAnsi="宋体" w:cs="宋体"/>
                <w:color w:val="auto"/>
                <w:kern w:val="0"/>
                <w:szCs w:val="21"/>
                <w:lang w:val="en-US" w:eastAsia="zh-CN"/>
              </w:rPr>
              <w:t>23</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保障经费投入</w:t>
            </w:r>
            <w:r>
              <w:rPr>
                <w:rFonts w:ascii="宋体" w:hAnsi="宋体" w:cs="宋体"/>
                <w:color w:val="auto"/>
                <w:kern w:val="0"/>
                <w:szCs w:val="21"/>
              </w:rPr>
              <w:t xml:space="preserve"> </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建立责任明确、管理规范、投入稳定的执法经费保障机制；</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分类制定行政执法机关执法装备配备标准、装备配备规划、设施建设规划和年度实施计划。</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办公室、财务股</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r>
        <w:tblPrEx>
          <w:tblLayout w:type="fixed"/>
          <w:tblCellMar>
            <w:top w:w="28" w:type="dxa"/>
            <w:left w:w="57" w:type="dxa"/>
            <w:bottom w:w="28" w:type="dxa"/>
            <w:right w:w="57" w:type="dxa"/>
          </w:tblCellMar>
        </w:tblPrEx>
        <w:trPr>
          <w:trHeight w:val="1692" w:hRule="atLeast"/>
        </w:trPr>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eastAsia="宋体" w:cs="宋体"/>
                <w:color w:val="auto"/>
                <w:szCs w:val="21"/>
                <w:lang w:eastAsia="zh-CN"/>
              </w:rPr>
            </w:pPr>
            <w:r>
              <w:rPr>
                <w:rFonts w:ascii="宋体" w:hAnsi="宋体" w:cs="宋体"/>
                <w:color w:val="auto"/>
                <w:kern w:val="0"/>
                <w:szCs w:val="21"/>
              </w:rPr>
              <w:t>2</w:t>
            </w:r>
            <w:r>
              <w:rPr>
                <w:rFonts w:hint="eastAsia" w:ascii="宋体" w:hAnsi="宋体" w:cs="宋体"/>
                <w:color w:val="auto"/>
                <w:kern w:val="0"/>
                <w:szCs w:val="21"/>
                <w:lang w:val="en-US" w:eastAsia="zh-CN"/>
              </w:rPr>
              <w:t>4</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cs="宋体"/>
                <w:color w:val="auto"/>
                <w:szCs w:val="21"/>
              </w:rPr>
            </w:pPr>
            <w:r>
              <w:rPr>
                <w:rFonts w:hint="eastAsia" w:ascii="宋体" w:hAnsi="宋体" w:cs="宋体"/>
                <w:color w:val="auto"/>
                <w:kern w:val="0"/>
                <w:szCs w:val="21"/>
              </w:rPr>
              <w:t>加强队伍建设</w:t>
            </w:r>
            <w:r>
              <w:rPr>
                <w:rFonts w:ascii="宋体" w:hAnsi="宋体" w:cs="宋体"/>
                <w:color w:val="auto"/>
                <w:kern w:val="0"/>
                <w:szCs w:val="21"/>
              </w:rPr>
              <w:t xml:space="preserve"> </w:t>
            </w:r>
          </w:p>
        </w:tc>
        <w:tc>
          <w:tcPr>
            <w:tcW w:w="6674"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ascii="宋体" w:hAnsi="宋体" w:cs="宋体"/>
                <w:color w:val="auto"/>
                <w:kern w:val="0"/>
                <w:szCs w:val="21"/>
              </w:rPr>
              <w:t>(1)</w:t>
            </w:r>
            <w:r>
              <w:rPr>
                <w:rFonts w:hint="eastAsia" w:ascii="宋体" w:hAnsi="宋体" w:cs="宋体"/>
                <w:color w:val="auto"/>
                <w:kern w:val="0"/>
                <w:szCs w:val="21"/>
              </w:rPr>
              <w:t>提升执法人员思想道德素质、业务能力水平和执法素养；</w:t>
            </w:r>
            <w:r>
              <w:rPr>
                <w:rFonts w:ascii="宋体" w:cs="宋体"/>
                <w:color w:val="auto"/>
                <w:kern w:val="0"/>
                <w:szCs w:val="21"/>
              </w:rPr>
              <w:br w:type="textWrapping"/>
            </w:r>
            <w:r>
              <w:rPr>
                <w:rFonts w:ascii="宋体" w:hAnsi="宋体" w:cs="宋体"/>
                <w:color w:val="auto"/>
                <w:kern w:val="0"/>
                <w:szCs w:val="21"/>
              </w:rPr>
              <w:t>(2)</w:t>
            </w:r>
            <w:r>
              <w:rPr>
                <w:rFonts w:hint="eastAsia" w:ascii="宋体" w:hAnsi="宋体" w:cs="宋体"/>
                <w:color w:val="auto"/>
                <w:kern w:val="0"/>
                <w:szCs w:val="21"/>
              </w:rPr>
              <w:t>健全行政执法人员和法制审核人员岗前培训和岗位培训制度；</w:t>
            </w:r>
            <w:r>
              <w:rPr>
                <w:rFonts w:ascii="宋体" w:cs="宋体"/>
                <w:color w:val="auto"/>
                <w:kern w:val="0"/>
                <w:szCs w:val="21"/>
              </w:rPr>
              <w:br w:type="textWrapping"/>
            </w:r>
            <w:r>
              <w:rPr>
                <w:rFonts w:ascii="宋体" w:hAnsi="宋体" w:cs="宋体"/>
                <w:color w:val="auto"/>
                <w:kern w:val="0"/>
                <w:szCs w:val="21"/>
              </w:rPr>
              <w:t>(3)</w:t>
            </w:r>
            <w:r>
              <w:rPr>
                <w:rFonts w:hint="eastAsia" w:ascii="宋体" w:hAnsi="宋体" w:cs="宋体"/>
                <w:color w:val="auto"/>
                <w:kern w:val="0"/>
                <w:szCs w:val="21"/>
              </w:rPr>
              <w:t>取得法律职业资格的人员，可以简化或免于执法资格考试；</w:t>
            </w:r>
            <w:r>
              <w:rPr>
                <w:rFonts w:ascii="宋体" w:cs="宋体"/>
                <w:color w:val="auto"/>
                <w:kern w:val="0"/>
                <w:szCs w:val="21"/>
              </w:rPr>
              <w:br w:type="textWrapping"/>
            </w:r>
            <w:r>
              <w:rPr>
                <w:rFonts w:ascii="宋体" w:hAnsi="宋体" w:cs="宋体"/>
                <w:color w:val="auto"/>
                <w:kern w:val="0"/>
                <w:szCs w:val="21"/>
              </w:rPr>
              <w:t>(4)</w:t>
            </w:r>
            <w:r>
              <w:rPr>
                <w:rFonts w:hint="eastAsia" w:ascii="宋体" w:hAnsi="宋体" w:cs="宋体"/>
                <w:color w:val="auto"/>
                <w:kern w:val="0"/>
                <w:szCs w:val="21"/>
              </w:rPr>
              <w:t>建立科学的考核评价体系、人员激励机制、工资待遇政策。</w:t>
            </w:r>
            <w:r>
              <w:rPr>
                <w:rFonts w:ascii="宋体" w:hAnsi="宋体" w:cs="宋体"/>
                <w:color w:val="auto"/>
                <w:kern w:val="0"/>
                <w:szCs w:val="21"/>
              </w:rPr>
              <w:t xml:space="preserve"> </w:t>
            </w:r>
          </w:p>
        </w:tc>
        <w:tc>
          <w:tcPr>
            <w:tcW w:w="213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szCs w:val="21"/>
              </w:rPr>
              <w:t>人事股、政策法规股</w:t>
            </w:r>
          </w:p>
        </w:tc>
        <w:tc>
          <w:tcPr>
            <w:tcW w:w="1905"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宋体" w:cs="宋体"/>
                <w:color w:val="auto"/>
                <w:szCs w:val="21"/>
              </w:rPr>
            </w:pPr>
            <w:r>
              <w:rPr>
                <w:rFonts w:hint="eastAsia" w:ascii="宋体" w:hAnsi="宋体" w:cs="宋体"/>
                <w:color w:val="auto"/>
                <w:kern w:val="0"/>
                <w:szCs w:val="21"/>
              </w:rPr>
              <w:t>持续推进</w:t>
            </w:r>
            <w:r>
              <w:rPr>
                <w:rFonts w:ascii="宋体" w:hAnsi="宋体" w:cs="宋体"/>
                <w:color w:val="auto"/>
                <w:kern w:val="0"/>
                <w:szCs w:val="21"/>
              </w:rPr>
              <w:t xml:space="preserve"> </w:t>
            </w:r>
          </w:p>
        </w:tc>
      </w:tr>
    </w:tbl>
    <w:p>
      <w:pPr>
        <w:pStyle w:val="3"/>
        <w:spacing w:line="600" w:lineRule="exact"/>
        <w:rPr>
          <w:rFonts w:hint="eastAsia" w:ascii="仿宋" w:hAnsi="仿宋" w:eastAsia="仿宋" w:cs="仿宋"/>
          <w:color w:val="auto"/>
          <w:sz w:val="32"/>
          <w:szCs w:val="32"/>
        </w:rPr>
      </w:pPr>
    </w:p>
    <w:sectPr>
      <w:pgSz w:w="16838" w:h="11906" w:orient="landscape"/>
      <w:pgMar w:top="1588" w:right="2098" w:bottom="1474" w:left="1985" w:header="851" w:footer="992" w:gutter="0"/>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30204"/>
    <w:charset w:val="00"/>
    <w:family w:val="swiss"/>
    <w:pitch w:val="default"/>
    <w:sig w:usb0="00000000" w:usb1="00000000" w:usb2="00000000" w:usb3="00000000" w:csb0="00000093"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roman"/>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5"/>
                            <w:rPr>
                              <w:rStyle w:val="8"/>
                            </w:rPr>
                          </w:pPr>
                          <w:r>
                            <w:fldChar w:fldCharType="begin"/>
                          </w:r>
                          <w:r>
                            <w:rPr>
                              <w:rStyle w:val="8"/>
                            </w:rPr>
                            <w:instrText xml:space="preserve">PAGE  </w:instrText>
                          </w:r>
                          <w:r>
                            <w:fldChar w:fldCharType="separate"/>
                          </w:r>
                          <w:r>
                            <w:rPr>
                              <w:rStyle w:val="8"/>
                            </w:rPr>
                            <w:t>2</w:t>
                          </w:r>
                          <w:r>
                            <w:fldChar w:fldCharType="end"/>
                          </w:r>
                        </w:p>
                      </w:txbxContent>
                    </wps:txbx>
                    <wps:bodyPr vert="horz" wrap="none" lIns="0" tIns="0" rIns="0" bIns="0" anchor="t"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B9I526xgEAAGsDAAAOAAAAAAAAAAEAIAAAAB4BAABkcnMvZTJvRG9jLnht&#10;bFBLBQYAAAAABgAGAFkBAABWBQAAAAA=&#10;">
              <v:fill on="f" focussize="0,0"/>
              <v:stroke on="f"/>
              <v:imagedata o:title=""/>
              <o:lock v:ext="edit" aspectratio="f"/>
              <v:textbox inset="0mm,0mm,0mm,0mm" style="mso-fit-shape-to-text:t;">
                <w:txbxContent>
                  <w:p>
                    <w:pPr>
                      <w:pStyle w:val="5"/>
                      <w:rPr>
                        <w:rStyle w:val="8"/>
                      </w:rPr>
                    </w:pPr>
                    <w:r>
                      <w:fldChar w:fldCharType="begin"/>
                    </w:r>
                    <w:r>
                      <w:rPr>
                        <w:rStyle w:val="8"/>
                      </w:rPr>
                      <w:instrText xml:space="preserve">PAGE  </w:instrText>
                    </w:r>
                    <w:r>
                      <w:fldChar w:fldCharType="separate"/>
                    </w:r>
                    <w:r>
                      <w:rPr>
                        <w:rStyle w:val="8"/>
                      </w:rP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8"/>
      </w:rPr>
    </w:pPr>
    <w:r>
      <w:fldChar w:fldCharType="begin"/>
    </w:r>
    <w:r>
      <w:rPr>
        <w:rStyle w:val="8"/>
      </w:rPr>
      <w:instrText xml:space="preserve">PAGE  </w:instrText>
    </w:r>
    <w:r>
      <w:fldChar w:fldCharType="end"/>
    </w:r>
  </w:p>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Mvewy/FAQAAawMAAA4AAAAAAAAAAQAgAAAAHgEAAGRycy9lMm9Eb2MueG1s&#10;UEsFBgAAAAAGAAYAWQEAAFUFAAAAAA==&#10;">
              <v:fill on="f" focussize="0,0"/>
              <v:stroke on="f"/>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5"/>
                            <w:ind w:firstLine="180" w:firstLineChars="100"/>
                            <w:rPr>
                              <w:rStyle w:val="8"/>
                            </w:rPr>
                          </w:pPr>
                          <w:r>
                            <w:fldChar w:fldCharType="begin"/>
                          </w:r>
                          <w:r>
                            <w:rPr>
                              <w:rStyle w:val="8"/>
                            </w:rPr>
                            <w:instrText xml:space="preserve">PAGE  </w:instrText>
                          </w:r>
                          <w:r>
                            <w:fldChar w:fldCharType="separate"/>
                          </w:r>
                          <w:r>
                            <w:rPr>
                              <w:rStyle w:val="8"/>
                            </w:rPr>
                            <w:t>12</w:t>
                          </w:r>
                          <w:r>
                            <w:fldChar w:fldCharType="end"/>
                          </w:r>
                        </w:p>
                      </w:txbxContent>
                    </wps:txbx>
                    <wps:bodyPr vert="horz" wrap="none" lIns="0" tIns="0" rIns="0" bIns="0" anchor="t"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GbpkOxgEAAGsDAAAOAAAAAAAAAAEAIAAAAB4BAABkcnMvZTJvRG9jLnht&#10;bFBLBQYAAAAABgAGAFkBAABWBQAAAAA=&#10;">
              <v:fill on="f" focussize="0,0"/>
              <v:stroke on="f"/>
              <v:imagedata o:title=""/>
              <o:lock v:ext="edit" aspectratio="f"/>
              <v:textbox inset="0mm,0mm,0mm,0mm" style="mso-fit-shape-to-text:t;">
                <w:txbxContent>
                  <w:p>
                    <w:pPr>
                      <w:pStyle w:val="5"/>
                      <w:ind w:firstLine="180" w:firstLineChars="100"/>
                      <w:rPr>
                        <w:rStyle w:val="8"/>
                      </w:rPr>
                    </w:pPr>
                    <w:r>
                      <w:fldChar w:fldCharType="begin"/>
                    </w:r>
                    <w:r>
                      <w:rPr>
                        <w:rStyle w:val="8"/>
                      </w:rPr>
                      <w:instrText xml:space="preserve">PAGE  </w:instrText>
                    </w:r>
                    <w:r>
                      <w:fldChar w:fldCharType="separate"/>
                    </w:r>
                    <w:r>
                      <w:rPr>
                        <w:rStyle w:val="8"/>
                      </w:rPr>
                      <w:t>12</w:t>
                    </w:r>
                    <w:r>
                      <w:fldChar w:fldCharType="end"/>
                    </w:r>
                  </w:p>
                </w:txbxContent>
              </v:textbox>
            </v:shape>
          </w:pict>
        </mc:Fallback>
      </mc:AlternateContent>
    </w:r>
    <w:r>
      <w:rPr>
        <w:rFonts w:hint="eastAsia"/>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8"/>
      </w:rPr>
    </w:pPr>
    <w:r>
      <w:fldChar w:fldCharType="begin"/>
    </w:r>
    <w:r>
      <w:rPr>
        <w:rStyle w:val="8"/>
      </w:rPr>
      <w:instrText xml:space="preserve">PAGE  </w:instrText>
    </w:r>
    <w: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5FC"/>
    <w:rsid w:val="00012397"/>
    <w:rsid w:val="0001522D"/>
    <w:rsid w:val="0003666E"/>
    <w:rsid w:val="0004044D"/>
    <w:rsid w:val="00045C01"/>
    <w:rsid w:val="00061BF5"/>
    <w:rsid w:val="00062641"/>
    <w:rsid w:val="000757CA"/>
    <w:rsid w:val="00085BC5"/>
    <w:rsid w:val="00087309"/>
    <w:rsid w:val="00091689"/>
    <w:rsid w:val="000A1D5B"/>
    <w:rsid w:val="000A39D5"/>
    <w:rsid w:val="000B3537"/>
    <w:rsid w:val="000B7DC1"/>
    <w:rsid w:val="000C7C0A"/>
    <w:rsid w:val="000C7EE9"/>
    <w:rsid w:val="000E3577"/>
    <w:rsid w:val="000F5017"/>
    <w:rsid w:val="0010291E"/>
    <w:rsid w:val="00104A99"/>
    <w:rsid w:val="00107BE7"/>
    <w:rsid w:val="001228BE"/>
    <w:rsid w:val="00125DFE"/>
    <w:rsid w:val="00140CDC"/>
    <w:rsid w:val="00141A4E"/>
    <w:rsid w:val="00144CC0"/>
    <w:rsid w:val="00155FFC"/>
    <w:rsid w:val="00166E14"/>
    <w:rsid w:val="0017226F"/>
    <w:rsid w:val="00186E7A"/>
    <w:rsid w:val="001A1982"/>
    <w:rsid w:val="001B0775"/>
    <w:rsid w:val="001B1B75"/>
    <w:rsid w:val="001B278D"/>
    <w:rsid w:val="001B4A4E"/>
    <w:rsid w:val="001B4F37"/>
    <w:rsid w:val="001C42A8"/>
    <w:rsid w:val="001C6B11"/>
    <w:rsid w:val="001D0A14"/>
    <w:rsid w:val="001E150F"/>
    <w:rsid w:val="001E2761"/>
    <w:rsid w:val="001F1769"/>
    <w:rsid w:val="00210696"/>
    <w:rsid w:val="002318AF"/>
    <w:rsid w:val="00246576"/>
    <w:rsid w:val="00247114"/>
    <w:rsid w:val="0025546B"/>
    <w:rsid w:val="0026356D"/>
    <w:rsid w:val="002662AD"/>
    <w:rsid w:val="00273D25"/>
    <w:rsid w:val="002740D3"/>
    <w:rsid w:val="002762EF"/>
    <w:rsid w:val="0028090E"/>
    <w:rsid w:val="00281E66"/>
    <w:rsid w:val="00287F1F"/>
    <w:rsid w:val="0029067E"/>
    <w:rsid w:val="00292F20"/>
    <w:rsid w:val="00293BE6"/>
    <w:rsid w:val="00297598"/>
    <w:rsid w:val="002A5204"/>
    <w:rsid w:val="002B3205"/>
    <w:rsid w:val="002C0AF8"/>
    <w:rsid w:val="002C4B51"/>
    <w:rsid w:val="002C6C98"/>
    <w:rsid w:val="00303C5A"/>
    <w:rsid w:val="00311DFD"/>
    <w:rsid w:val="00322EC2"/>
    <w:rsid w:val="003269F1"/>
    <w:rsid w:val="00343E20"/>
    <w:rsid w:val="0034427C"/>
    <w:rsid w:val="003455E7"/>
    <w:rsid w:val="0034631A"/>
    <w:rsid w:val="00350F7C"/>
    <w:rsid w:val="00356977"/>
    <w:rsid w:val="00375CA9"/>
    <w:rsid w:val="003819A2"/>
    <w:rsid w:val="003A3F72"/>
    <w:rsid w:val="003C5A3F"/>
    <w:rsid w:val="003C5B6B"/>
    <w:rsid w:val="003C5CE1"/>
    <w:rsid w:val="003D430F"/>
    <w:rsid w:val="003E2590"/>
    <w:rsid w:val="003F49B0"/>
    <w:rsid w:val="00400896"/>
    <w:rsid w:val="0042534F"/>
    <w:rsid w:val="00456961"/>
    <w:rsid w:val="00466523"/>
    <w:rsid w:val="00474043"/>
    <w:rsid w:val="00485BB4"/>
    <w:rsid w:val="00490B6B"/>
    <w:rsid w:val="00494DC1"/>
    <w:rsid w:val="004973F0"/>
    <w:rsid w:val="00497F6E"/>
    <w:rsid w:val="004D2EEF"/>
    <w:rsid w:val="004D50D2"/>
    <w:rsid w:val="004E1853"/>
    <w:rsid w:val="004E6C91"/>
    <w:rsid w:val="00506F3F"/>
    <w:rsid w:val="005151D9"/>
    <w:rsid w:val="00521604"/>
    <w:rsid w:val="00522776"/>
    <w:rsid w:val="00524620"/>
    <w:rsid w:val="00542661"/>
    <w:rsid w:val="00546507"/>
    <w:rsid w:val="00551C1F"/>
    <w:rsid w:val="00556546"/>
    <w:rsid w:val="00581762"/>
    <w:rsid w:val="00594C73"/>
    <w:rsid w:val="005A6649"/>
    <w:rsid w:val="005E173E"/>
    <w:rsid w:val="005F0878"/>
    <w:rsid w:val="005F159E"/>
    <w:rsid w:val="005F3925"/>
    <w:rsid w:val="005F6850"/>
    <w:rsid w:val="00625469"/>
    <w:rsid w:val="00626F0F"/>
    <w:rsid w:val="00655871"/>
    <w:rsid w:val="00662AD9"/>
    <w:rsid w:val="006A1269"/>
    <w:rsid w:val="006A75BD"/>
    <w:rsid w:val="006B7337"/>
    <w:rsid w:val="006C75F6"/>
    <w:rsid w:val="006D09C0"/>
    <w:rsid w:val="006D7613"/>
    <w:rsid w:val="0070761A"/>
    <w:rsid w:val="007111B3"/>
    <w:rsid w:val="00723E67"/>
    <w:rsid w:val="00765784"/>
    <w:rsid w:val="00767FD0"/>
    <w:rsid w:val="0078373C"/>
    <w:rsid w:val="0078756D"/>
    <w:rsid w:val="00791F01"/>
    <w:rsid w:val="007A0122"/>
    <w:rsid w:val="007C7486"/>
    <w:rsid w:val="007E1DDD"/>
    <w:rsid w:val="00820A23"/>
    <w:rsid w:val="00823F5A"/>
    <w:rsid w:val="00825B75"/>
    <w:rsid w:val="00832F32"/>
    <w:rsid w:val="00856CCD"/>
    <w:rsid w:val="008579DA"/>
    <w:rsid w:val="008639DE"/>
    <w:rsid w:val="008764A3"/>
    <w:rsid w:val="00891973"/>
    <w:rsid w:val="008B5354"/>
    <w:rsid w:val="008C5EDF"/>
    <w:rsid w:val="008C6D29"/>
    <w:rsid w:val="008E4F09"/>
    <w:rsid w:val="008F0375"/>
    <w:rsid w:val="00905D94"/>
    <w:rsid w:val="00911838"/>
    <w:rsid w:val="00920987"/>
    <w:rsid w:val="0092339A"/>
    <w:rsid w:val="009248A8"/>
    <w:rsid w:val="009257F1"/>
    <w:rsid w:val="00926910"/>
    <w:rsid w:val="00933EAA"/>
    <w:rsid w:val="00937BE2"/>
    <w:rsid w:val="00977B78"/>
    <w:rsid w:val="00980974"/>
    <w:rsid w:val="00987154"/>
    <w:rsid w:val="00992F7E"/>
    <w:rsid w:val="009B3B5D"/>
    <w:rsid w:val="009B5232"/>
    <w:rsid w:val="009E650F"/>
    <w:rsid w:val="00A03472"/>
    <w:rsid w:val="00A117E2"/>
    <w:rsid w:val="00A16808"/>
    <w:rsid w:val="00A23DD4"/>
    <w:rsid w:val="00A269A8"/>
    <w:rsid w:val="00A35165"/>
    <w:rsid w:val="00A5002E"/>
    <w:rsid w:val="00A512E6"/>
    <w:rsid w:val="00A64EC1"/>
    <w:rsid w:val="00A8314E"/>
    <w:rsid w:val="00A918F7"/>
    <w:rsid w:val="00AA031A"/>
    <w:rsid w:val="00AB2491"/>
    <w:rsid w:val="00AC0025"/>
    <w:rsid w:val="00AC5593"/>
    <w:rsid w:val="00AD0380"/>
    <w:rsid w:val="00AD6DF8"/>
    <w:rsid w:val="00B03A90"/>
    <w:rsid w:val="00B3018D"/>
    <w:rsid w:val="00B42006"/>
    <w:rsid w:val="00B5643D"/>
    <w:rsid w:val="00B717DF"/>
    <w:rsid w:val="00B80AFB"/>
    <w:rsid w:val="00B878F9"/>
    <w:rsid w:val="00B9339C"/>
    <w:rsid w:val="00BC16CE"/>
    <w:rsid w:val="00BC3C95"/>
    <w:rsid w:val="00BC6F58"/>
    <w:rsid w:val="00BD33DD"/>
    <w:rsid w:val="00C10281"/>
    <w:rsid w:val="00C25698"/>
    <w:rsid w:val="00C615C4"/>
    <w:rsid w:val="00C62A9F"/>
    <w:rsid w:val="00C63B0A"/>
    <w:rsid w:val="00CA6F1C"/>
    <w:rsid w:val="00CB3E4D"/>
    <w:rsid w:val="00CD0004"/>
    <w:rsid w:val="00CD0F39"/>
    <w:rsid w:val="00CE3285"/>
    <w:rsid w:val="00CE5487"/>
    <w:rsid w:val="00D01CF3"/>
    <w:rsid w:val="00D03A73"/>
    <w:rsid w:val="00D13AAB"/>
    <w:rsid w:val="00D26929"/>
    <w:rsid w:val="00D30708"/>
    <w:rsid w:val="00D370FC"/>
    <w:rsid w:val="00D57DB6"/>
    <w:rsid w:val="00D779E6"/>
    <w:rsid w:val="00D83EAD"/>
    <w:rsid w:val="00DA0FEF"/>
    <w:rsid w:val="00DB42B8"/>
    <w:rsid w:val="00DC56D9"/>
    <w:rsid w:val="00DD549F"/>
    <w:rsid w:val="00E10A17"/>
    <w:rsid w:val="00E1755A"/>
    <w:rsid w:val="00E21867"/>
    <w:rsid w:val="00E328CD"/>
    <w:rsid w:val="00E334F5"/>
    <w:rsid w:val="00E420DF"/>
    <w:rsid w:val="00E45B4A"/>
    <w:rsid w:val="00E55754"/>
    <w:rsid w:val="00E557CB"/>
    <w:rsid w:val="00E62ECB"/>
    <w:rsid w:val="00E7482D"/>
    <w:rsid w:val="00E85541"/>
    <w:rsid w:val="00E87D40"/>
    <w:rsid w:val="00E940FF"/>
    <w:rsid w:val="00EA7AA7"/>
    <w:rsid w:val="00EC4D80"/>
    <w:rsid w:val="00EC691E"/>
    <w:rsid w:val="00ED475D"/>
    <w:rsid w:val="00EF23E0"/>
    <w:rsid w:val="00EF399E"/>
    <w:rsid w:val="00F0085A"/>
    <w:rsid w:val="00F009D1"/>
    <w:rsid w:val="00F16569"/>
    <w:rsid w:val="00F2634A"/>
    <w:rsid w:val="00F54F6E"/>
    <w:rsid w:val="00F70E3E"/>
    <w:rsid w:val="00F726C6"/>
    <w:rsid w:val="00F9593D"/>
    <w:rsid w:val="00F95F6C"/>
    <w:rsid w:val="00FB55D6"/>
    <w:rsid w:val="00FC140C"/>
    <w:rsid w:val="00FC54C7"/>
    <w:rsid w:val="00FD05D8"/>
    <w:rsid w:val="00FD21ED"/>
    <w:rsid w:val="00FD2839"/>
    <w:rsid w:val="00FD319D"/>
    <w:rsid w:val="00FD45E4"/>
    <w:rsid w:val="00FE55FC"/>
    <w:rsid w:val="00FE5FED"/>
    <w:rsid w:val="01025C9F"/>
    <w:rsid w:val="0345299B"/>
    <w:rsid w:val="1B0E2EA5"/>
    <w:rsid w:val="2595458B"/>
    <w:rsid w:val="26206F4E"/>
    <w:rsid w:val="2A811B38"/>
    <w:rsid w:val="32CC351D"/>
    <w:rsid w:val="375D7E38"/>
    <w:rsid w:val="48915F32"/>
    <w:rsid w:val="4AEF26FF"/>
    <w:rsid w:val="4EC007E0"/>
    <w:rsid w:val="5B486209"/>
    <w:rsid w:val="604C1A58"/>
    <w:rsid w:val="658D2DD6"/>
    <w:rsid w:val="68C075DB"/>
    <w:rsid w:val="71EB623C"/>
    <w:rsid w:val="7A5D3EA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Plain Text"/>
    <w:basedOn w:val="1"/>
    <w:link w:val="11"/>
    <w:uiPriority w:val="0"/>
    <w:rPr>
      <w:rFonts w:ascii="宋体" w:hAnsi="Courier New"/>
    </w:rPr>
  </w:style>
  <w:style w:type="paragraph" w:styleId="4">
    <w:name w:val="Balloon Text"/>
    <w:basedOn w:val="1"/>
    <w:semiHidden/>
    <w:qFormat/>
    <w:uiPriority w:val="0"/>
    <w:rPr>
      <w:sz w:val="18"/>
      <w:szCs w:val="18"/>
    </w:rPr>
  </w:style>
  <w:style w:type="paragraph" w:styleId="5">
    <w:name w:val="footer"/>
    <w:basedOn w:val="1"/>
    <w:uiPriority w:val="0"/>
    <w:pPr>
      <w:tabs>
        <w:tab w:val="center" w:pos="4153"/>
        <w:tab w:val="right" w:pos="8306"/>
      </w:tabs>
      <w:snapToGrid w:val="0"/>
      <w:jc w:val="left"/>
    </w:pPr>
    <w:rPr>
      <w:sz w:val="18"/>
      <w:szCs w:val="18"/>
    </w:rPr>
  </w:style>
  <w:style w:type="paragraph" w:styleId="6">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10">
    <w:name w:val="列出段落"/>
    <w:basedOn w:val="1"/>
    <w:unhideWhenUsed/>
    <w:uiPriority w:val="99"/>
    <w:pPr>
      <w:ind w:firstLine="420" w:firstLineChars="200"/>
    </w:pPr>
    <w:rPr>
      <w:rFonts w:ascii="Calibri" w:hAnsi="Calibri" w:eastAsia="仿宋_GB2312" w:cs="黑体"/>
      <w:sz w:val="32"/>
      <w:szCs w:val="22"/>
    </w:rPr>
  </w:style>
  <w:style w:type="character" w:customStyle="1" w:styleId="11">
    <w:name w:val="Plain Text Char"/>
    <w:basedOn w:val="7"/>
    <w:link w:val="3"/>
    <w:semiHidden/>
    <w:locked/>
    <w:uiPriority w:val="0"/>
    <w:rPr>
      <w:rFonts w:ascii="宋体" w:hAnsi="Courier New" w:eastAsia="宋体"/>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903</Words>
  <Characters>5150</Characters>
  <Lines>42</Lines>
  <Paragraphs>12</Paragraphs>
  <TotalTime>9</TotalTime>
  <ScaleCrop>false</ScaleCrop>
  <LinksUpToDate>false</LinksUpToDate>
  <CharactersWithSpaces>6041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2020-02-10T01:23:00Z</dcterms:created>
  <dc:creator>微软用户</dc:creator>
  <cp:lastModifiedBy>纯宝</cp:lastModifiedBy>
  <cp:lastPrinted>2022-08-25T08:20:09Z</cp:lastPrinted>
  <dcterms:modified xsi:type="dcterms:W3CDTF">2022-08-25T08:20:43Z</dcterms:modified>
  <dc:title>保财人〔2011〕14号</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