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sz w:val="44"/>
          <w:szCs w:val="44"/>
        </w:rPr>
        <w:t xml:space="preserve">2020年度中共桃江县委组织部部门决算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32"/>
          <w:szCs w:val="32"/>
        </w:rPr>
        <w:t> </w:t>
      </w:r>
      <w:r>
        <w:rPr>
          <w:rFonts w:hint="default" w:ascii="Times New Roman" w:hAnsi="Times New Roman" w:cs="Times New Roman"/>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color w:val="000000"/>
          <w:sz w:val="44"/>
          <w:szCs w:val="44"/>
        </w:rPr>
        <w:t xml:space="preserve">目 录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cs="Times New Roman"/>
          <w:b w:val="0"/>
          <w:bCs w:val="0"/>
          <w:sz w:val="21"/>
          <w:szCs w:val="21"/>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sz w:val="32"/>
          <w:szCs w:val="32"/>
        </w:rPr>
        <w:t xml:space="preserve">第一部分 中共桃江县委组织部概况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一、部门职责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二、机构设置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sz w:val="32"/>
          <w:szCs w:val="32"/>
        </w:rPr>
        <w:t xml:space="preserve">第二部分 2020年度部门决算表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一、收入支出决算总表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二、收入决算表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三、支出决算表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四、财政拨款收入支出决算总表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五、一般公共预算财政拨款支出决算表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六、一般公共预算财政拨款基本支出决算表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七、一般公共预算财政拨款“三公”经费支出决算表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八、政府性基金预算财政拨款收入支出决算表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九、国有资本经营预算财政拨款支出决算表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sz w:val="32"/>
          <w:szCs w:val="32"/>
        </w:rPr>
        <w:t xml:space="preserve">第三部分 2020年度部门决算情况说明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一、收入支出决算总体情况说明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二、收入决算情况说明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三、支出决算情况说明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四、财政拨款收入支出决算总体情况说明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五、一般公共预算财政拨款支出决算情况说明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六、一般公共预算财政拨款基本支出决算情况说明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七、一般公共预算财政拨款三公经费支出决算情况说明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八、政府性基金预算收入支出决算情况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九、关于机关运行经费支出说明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十、一般性支出情况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十一、关于政府采购支出说明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十二、关于国有资产占用情况说明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十三、关于2020年度预算绩效情况的说明</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sz w:val="32"/>
          <w:szCs w:val="32"/>
        </w:rPr>
        <w:t xml:space="preserve">第四部分 名词解释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sz w:val="32"/>
          <w:szCs w:val="32"/>
        </w:rPr>
        <w:t xml:space="preserve">第五部分 附件 </w:t>
      </w:r>
    </w:p>
    <w:p>
      <w:pPr>
        <w:keepNext w:val="0"/>
        <w:keepLines w:val="0"/>
        <w:pageBreakBefore w:val="0"/>
        <w:kinsoku/>
        <w:wordWrap/>
        <w:overflowPunct/>
        <w:topLinePunct w:val="0"/>
        <w:autoSpaceDE/>
        <w:autoSpaceDN/>
        <w:bidi w:val="0"/>
        <w:adjustRightInd/>
        <w:snapToGrid/>
        <w:spacing w:after="0" w:line="594" w:lineRule="exact"/>
        <w:textAlignment w:val="auto"/>
        <w:rPr>
          <w:rFonts w:hint="default" w:ascii="Times New Roman" w:hAnsi="Times New Roman" w:cs="Times New Roman"/>
          <w:b w:val="0"/>
          <w:bCs w:val="0"/>
        </w:rPr>
        <w:sectPr>
          <w:headerReference r:id="rId4" w:type="default"/>
          <w:footerReference r:id="rId5" w:type="default"/>
          <w:pgSz w:w="11906" w:h="16838" w:orient="landscape"/>
          <w:pgMar w:top="1814" w:right="1361" w:bottom="1587" w:left="1644" w:header="851" w:footer="992" w:gutter="0"/>
          <w:cols w:space="0" w:num="1"/>
          <w:docGrid w:type="lines" w:linePitch="160" w:charSpace="0"/>
        </w:sectPr>
      </w:pP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color w:val="000000"/>
          <w:sz w:val="36"/>
          <w:szCs w:val="36"/>
        </w:rPr>
        <w:t>第一部分 中共桃江县委组织部概况</w:t>
      </w:r>
      <w:r>
        <w:rPr>
          <w:rFonts w:hint="default" w:ascii="Times New Roman" w:hAnsi="Times New Roman" w:eastAsia="方正小标宋简体" w:cs="Times New Roman"/>
          <w:b w:val="0"/>
          <w:bCs w:val="0"/>
          <w:color w:val="000000"/>
          <w:sz w:val="21"/>
          <w:szCs w:val="21"/>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cs="Times New Roman"/>
          <w:b w:val="0"/>
          <w:bCs w:val="0"/>
        </w:rPr>
      </w:pPr>
      <w:r>
        <w:rPr>
          <w:rFonts w:hint="default" w:ascii="Times New Roman" w:hAnsi="Times New Roman" w:eastAsia="黑体" w:cs="Times New Roman"/>
          <w:b w:val="0"/>
          <w:bCs w:val="0"/>
          <w:color w:val="000000"/>
          <w:sz w:val="32"/>
          <w:szCs w:val="32"/>
        </w:rPr>
        <w:t> </w:t>
      </w:r>
      <w:r>
        <w:rPr>
          <w:rFonts w:hint="default" w:ascii="Times New Roman" w:hAnsi="Times New Roman" w:cs="Times New Roman"/>
          <w:b w:val="0"/>
          <w:bCs w:val="0"/>
          <w:color w:val="000000"/>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一、部门职责</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（一）严格执行党的干部路线、方针、政策，负责全县干部队伍建设的宏观管理，拟订或参与拟订组织、干部、人事工作的重要政策、规定、制度；负责全县党的建设制度改革工作的规划研究、部署和组织实施。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二）负责干部队伍建设的规划和指导工作。研究拟订加强全县干部队伍建设整体规划的工作措施；负责对县委管理的领导班子进行考察了解，并向县委提出调整配备的意见和建议；负责县委管理干部的考察、任免、工资、待遇、退休审批等手续的办理；会同机构编制部门拟订副科级以上单位领导班子职数设置方案；负责援疆援藏干部的选派、安排、管理工作；负责规划、部署、组织实施年轻干部、妇女干部、少数民族干部、党外干部的培养、选拔、任用工作。指导乡镇和县直乡科级单位领导班子政治建设；协助管理以垂直部门管理为主的双重管理单位领导班子和领导干部，对领导班子建设和领导干部的选拔任用提出意见和建议。负责省、市、县人大代表和政协委员推荐提名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三）执行公务员管理政策和法律法规。负责公务员职务与职级并行制度的组织实施；负责实施公务员调任、转任、挂职政策；负责全县公务员和参照公务员法管理单位工作人员的考选、调配、交流、安置、管理工作；负责全县公务员、参照公务员法管理单位工作人员工资、福利、退休、抚恤等政策的组织实施。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（四）负责全县人才工作和人才队伍建设的宏观管理和指导。研究拟订人才工作有关政策；协调落实专项重点人才工作；协调实施高层次人才培养工程。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（五）研究制定全县干部信息建设规划；负责全县干部信息、干部档案、干部统计工作。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六）负责干部监督工作的宏观指导。负责对党政领导干部选拔任用工作进行监督检查；对反映领导班子、领导干部和组织建设的重要问题进行调查了解和督办；对有关监督制度的落实情况进行督查；对市委管理干部的历史遗留问题进行初审，对县委管理干部的历史遗留问题进行审查；组织开展领导干部个人有关事项报告，做好干部因私出国（境）审批管理、任期经济责任审计，开展提醒、函询、诫勉工作。协助做好县委巡察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（七）负责全县干部教育培训的宏观管理，制定干部教育工作规划，组织、开展主题教育培训，协调、指导乡镇和县直各单位的干部教育培训工作。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八）研究指导党组织建设工作。制定落实加强党的工作制度、党内生活制度的规定和意见；对各领域党的基层组织建设进行分类指导，对各级各类党组织设立进行指导审核；指导乡镇党委健全党代表大会制度，指导党代表大会代表选举、管理和联络服务。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九）研究指导党员队伍建设工作。主管党员发展和管理工作，指导全县党员教育培训；指导乡镇和县直乡科级单位党员领导干部民主生活会；负责全县党费收缴、管理和使用工作；指导开展党内表彰奖励、关怀帮扶等工作；负责全县党组织和党员队伍信息化建设及党内统计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（十）负责全县非公有制经济组织和社会组织党的建设工作。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（十一）承担县委基层党建工作领导小组日常工作，综合协调有关部门统筹推进基层党建工作，健全和落实基层党建工作责任制，负责基层党建述职评议；协调有关部门指导发展壮大村级（社区）集体经济。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二）牵头组织迎接市对县的考核工作，统筹协调监督全县开展绩效考核工作；拟订市对县绩效评估考核实施办法和全县年度绩效考核办法及各单位目标任务，汇总年度考核成绩；承担县绩效考核委员会办公室日常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三）贯彻执行离退休干部工作的方针、政策和决策部署，负责全县离退休干部工作的宏观管理和指导。开展调查研究，针对离退休干部工作中的新情况、新问题，及时提出建设性意见，为县委、县政府制定有关离退休干部工作的政策、规定提供情况和依据，并组织督促检查；负责全县离退休干部政治建设、思想建设、组织建设和离退休干部工委体系建设；指导离退休干部开展学习教育活动并发挥作用；负责全县离退休干部服务管理工作，督促落实离休干部政治、生活待遇；负责离退休干部工作的宣传，开展尊老、敬老、爱老活动，依法维护离退休干部的合法权益；按照有关规定，做好来桃离退休干部的接待服务工作。承担县委老干部工作领导小组、县委离退休干部工作委员会和县关心下一代工作委员会的日常管理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（十四）负责组织工作综合协调、督促检查和调查研究；负责组工干部队伍的自身建设。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（十五）完成县委和上级组织部门交办的其他工作。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二、机构设置及决算单位构成</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z w:val="32"/>
          <w:szCs w:val="32"/>
        </w:rPr>
        <w:t xml:space="preserve">（一）内设机构设置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中共桃江县委组织部内设机构包括：办公室、研究室、组织组、干部组、干部教育监督组、人才组、干部信息组、公务员管理组、工资福利组、县党代表大会代表联络工作办公室、党管组、县委非公有制经济组织和社会组织工作委员会办公室、绩效考核组、老干部组、县委离退休干部工作委员会办公室、县关心下一代工作委员会办公室。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z w:val="32"/>
          <w:szCs w:val="32"/>
        </w:rPr>
        <w:t xml:space="preserve">（二）决算单位构成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中共桃江县委组织部2020年部门决算汇总公开单位构成包括：机关本部。 </w:t>
      </w:r>
    </w:p>
    <w:p>
      <w:pPr>
        <w:keepNext w:val="0"/>
        <w:keepLines w:val="0"/>
        <w:pageBreakBefore w:val="0"/>
        <w:kinsoku/>
        <w:wordWrap/>
        <w:overflowPunct/>
        <w:topLinePunct w:val="0"/>
        <w:autoSpaceDE/>
        <w:autoSpaceDN/>
        <w:bidi w:val="0"/>
        <w:adjustRightInd/>
        <w:snapToGrid/>
        <w:spacing w:after="0" w:line="594" w:lineRule="exact"/>
        <w:textAlignment w:val="auto"/>
        <w:rPr>
          <w:rFonts w:hint="default" w:ascii="Times New Roman" w:hAnsi="Times New Roman" w:cs="Times New Roman"/>
          <w:b w:val="0"/>
          <w:bCs w:val="0"/>
        </w:rPr>
      </w:pPr>
    </w:p>
    <w:p>
      <w:pPr>
        <w:rPr>
          <w:rFonts w:hint="default" w:ascii="Times New Roman" w:hAnsi="Times New Roman" w:cs="Times New Roman"/>
          <w:b w:val="0"/>
          <w:bCs w:val="0"/>
          <w:color w:val="000000"/>
        </w:rPr>
        <w:sectPr>
          <w:pgSz w:w="11906" w:h="16838" w:orient="landscape"/>
          <w:pgMar w:top="1814" w:right="1361" w:bottom="1587" w:left="1644" w:header="851" w:footer="992" w:gutter="0"/>
          <w:cols w:space="0" w:num="1"/>
          <w:docGrid w:type="lines" w:linePitch="160" w:charSpace="0"/>
        </w:sect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2020年度部门决算表</w:t>
      </w:r>
      <w:r>
        <w:rPr>
          <w:color w:val="000000"/>
          <w:sz w:val="21"/>
          <w:szCs w:val="21"/>
        </w:rPr>
        <w:t xml:space="preserve"> </w:t>
      </w:r>
    </w:p>
    <w:p>
      <w:pPr>
        <w:pStyle w:val="11"/>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11"/>
              <w:keepNext w:val="0"/>
              <w:keepLines w:val="0"/>
              <w:widowControl/>
              <w:suppressLineNumbers w:val="0"/>
              <w:jc w:val="center"/>
            </w:pPr>
            <w:r>
              <w:rPr>
                <w:rFonts w:ascii="宋体" w:hAnsi="宋体" w:eastAsia="宋体" w:cs="宋体"/>
                <w:b w:val="0"/>
                <w:bCs w:val="0"/>
                <w:sz w:val="40"/>
                <w:szCs w:val="40"/>
              </w:rPr>
              <w:t xml:space="preserve">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shd w:val="clear" w:color="auto" w:fill="auto"/>
            <w:vAlign w:val="center"/>
          </w:tcPr>
          <w:p>
            <w:pPr>
              <w:pStyle w:val="11"/>
              <w:keepNext w:val="0"/>
              <w:keepLines w:val="0"/>
              <w:widowControl/>
              <w:suppressLineNumbers w:val="0"/>
            </w:pPr>
          </w:p>
        </w:tc>
        <w:tc>
          <w:tcPr>
            <w:tcW w:w="202" w:type="pct"/>
            <w:shd w:val="clear" w:color="auto" w:fill="auto"/>
            <w:vAlign w:val="center"/>
          </w:tcPr>
          <w:p>
            <w:pPr>
              <w:pStyle w:val="11"/>
              <w:keepNext w:val="0"/>
              <w:keepLines w:val="0"/>
              <w:widowControl/>
              <w:suppressLineNumbers w:val="0"/>
            </w:pPr>
          </w:p>
        </w:tc>
        <w:tc>
          <w:tcPr>
            <w:tcW w:w="799" w:type="pct"/>
            <w:shd w:val="clear" w:color="auto" w:fill="auto"/>
            <w:vAlign w:val="center"/>
          </w:tcPr>
          <w:p>
            <w:pPr>
              <w:pStyle w:val="11"/>
              <w:keepNext w:val="0"/>
              <w:keepLines w:val="0"/>
              <w:widowControl/>
              <w:suppressLineNumbers w:val="0"/>
            </w:pPr>
          </w:p>
        </w:tc>
        <w:tc>
          <w:tcPr>
            <w:tcW w:w="1497" w:type="pct"/>
            <w:shd w:val="clear" w:color="auto" w:fill="auto"/>
            <w:vAlign w:val="center"/>
          </w:tcPr>
          <w:p>
            <w:pPr>
              <w:pStyle w:val="11"/>
              <w:keepNext w:val="0"/>
              <w:keepLines w:val="0"/>
              <w:widowControl/>
              <w:suppressLineNumbers w:val="0"/>
            </w:pPr>
          </w:p>
        </w:tc>
        <w:tc>
          <w:tcPr>
            <w:tcW w:w="1002"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公开01表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1002"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收入 </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行次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金额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行次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一、一般公共预算财政拨款收入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1,414.25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二、政府性基金预算财政拨款收入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二、外交支出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三、国有资本经营预算财政拨款收入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三、国防支出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四、上级补助收入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五、事业收入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五、教育支出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六、经营收入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七、附属单位上缴收入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八、其他收入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十六、金融支出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0"/>
                <w:szCs w:val="20"/>
              </w:rPr>
              <w:t xml:space="preserve">24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0"/>
                <w:szCs w:val="20"/>
              </w:rPr>
              <w:t xml:space="preserve">25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0"/>
                <w:szCs w:val="20"/>
              </w:rPr>
              <w:t xml:space="preserve">26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本年收入合计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本年支出合计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使用非财政拨款结余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结余分配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年初结转和结余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年末结转和结余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总计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总计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注：本表反映部门本年度的总收支和年末结转结余情况。本表金额转换为万元时，因四舍五入可能存在尾数误差。 </w:t>
            </w:r>
          </w:p>
        </w:tc>
      </w:tr>
    </w:tbl>
    <w:p>
      <w:pPr>
        <w:pStyle w:val="11"/>
        <w:keepNext w:val="0"/>
        <w:keepLines w:val="0"/>
        <w:widowControl/>
        <w:suppressLineNumbers w:val="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pPr>
            <w:r>
              <w:rPr>
                <w:rFonts w:ascii="宋体" w:hAnsi="宋体" w:eastAsia="宋体" w:cs="宋体"/>
                <w:b w:val="0"/>
                <w:bCs w:val="0"/>
                <w:sz w:val="40"/>
                <w:szCs w:val="40"/>
              </w:rPr>
              <w:t xml:space="preserve">收入决算表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3" w:type="pct"/>
            <w:shd w:val="clear" w:color="auto" w:fill="auto"/>
            <w:vAlign w:val="center"/>
          </w:tcPr>
          <w:p>
            <w:pPr>
              <w:pStyle w:val="11"/>
              <w:keepNext w:val="0"/>
              <w:keepLines w:val="0"/>
              <w:widowControl/>
              <w:suppressLineNumbers w:val="0"/>
            </w:pPr>
          </w:p>
        </w:tc>
        <w:tc>
          <w:tcPr>
            <w:tcW w:w="113" w:type="pct"/>
            <w:shd w:val="clear" w:color="auto" w:fill="auto"/>
            <w:vAlign w:val="center"/>
          </w:tcPr>
          <w:p>
            <w:pPr>
              <w:pStyle w:val="11"/>
              <w:keepNext w:val="0"/>
              <w:keepLines w:val="0"/>
              <w:widowControl/>
              <w:suppressLineNumbers w:val="0"/>
            </w:pPr>
          </w:p>
        </w:tc>
        <w:tc>
          <w:tcPr>
            <w:tcW w:w="113" w:type="pct"/>
            <w:shd w:val="clear" w:color="auto" w:fill="auto"/>
            <w:vAlign w:val="center"/>
          </w:tcPr>
          <w:p>
            <w:pPr>
              <w:pStyle w:val="11"/>
              <w:keepNext w:val="0"/>
              <w:keepLines w:val="0"/>
              <w:widowControl/>
              <w:suppressLineNumbers w:val="0"/>
            </w:pPr>
          </w:p>
        </w:tc>
        <w:tc>
          <w:tcPr>
            <w:tcW w:w="995" w:type="pct"/>
            <w:shd w:val="clear" w:color="auto" w:fill="auto"/>
            <w:vAlign w:val="center"/>
          </w:tcPr>
          <w:p>
            <w:pPr>
              <w:pStyle w:val="11"/>
              <w:keepNext w:val="0"/>
              <w:keepLines w:val="0"/>
              <w:widowControl/>
              <w:suppressLineNumbers w:val="0"/>
            </w:pPr>
          </w:p>
        </w:tc>
        <w:tc>
          <w:tcPr>
            <w:tcW w:w="678" w:type="pct"/>
            <w:shd w:val="clear" w:color="auto" w:fill="auto"/>
            <w:vAlign w:val="center"/>
          </w:tcPr>
          <w:p>
            <w:pPr>
              <w:pStyle w:val="11"/>
              <w:keepNext w:val="0"/>
              <w:keepLines w:val="0"/>
              <w:widowControl/>
              <w:suppressLineNumbers w:val="0"/>
            </w:pPr>
          </w:p>
        </w:tc>
        <w:tc>
          <w:tcPr>
            <w:tcW w:w="497" w:type="pct"/>
            <w:shd w:val="clear" w:color="auto" w:fill="auto"/>
            <w:vAlign w:val="center"/>
          </w:tcPr>
          <w:p>
            <w:pPr>
              <w:pStyle w:val="11"/>
              <w:keepNext w:val="0"/>
              <w:keepLines w:val="0"/>
              <w:widowControl/>
              <w:suppressLineNumbers w:val="0"/>
            </w:pPr>
          </w:p>
        </w:tc>
        <w:tc>
          <w:tcPr>
            <w:tcW w:w="497" w:type="pct"/>
            <w:shd w:val="clear" w:color="auto" w:fill="auto"/>
            <w:vAlign w:val="center"/>
          </w:tcPr>
          <w:p>
            <w:pPr>
              <w:pStyle w:val="11"/>
              <w:keepNext w:val="0"/>
              <w:keepLines w:val="0"/>
              <w:widowControl/>
              <w:suppressLineNumbers w:val="0"/>
            </w:pPr>
          </w:p>
        </w:tc>
        <w:tc>
          <w:tcPr>
            <w:tcW w:w="497" w:type="pct"/>
            <w:shd w:val="clear" w:color="auto" w:fill="auto"/>
            <w:vAlign w:val="center"/>
          </w:tcPr>
          <w:p>
            <w:pPr>
              <w:pStyle w:val="11"/>
              <w:keepNext w:val="0"/>
              <w:keepLines w:val="0"/>
              <w:widowControl/>
              <w:suppressLineNumbers w:val="0"/>
            </w:pPr>
          </w:p>
        </w:tc>
        <w:tc>
          <w:tcPr>
            <w:tcW w:w="497" w:type="pct"/>
            <w:shd w:val="clear" w:color="auto" w:fill="auto"/>
            <w:vAlign w:val="center"/>
          </w:tcPr>
          <w:p>
            <w:pPr>
              <w:pStyle w:val="11"/>
              <w:keepNext w:val="0"/>
              <w:keepLines w:val="0"/>
              <w:widowControl/>
              <w:suppressLineNumbers w:val="0"/>
            </w:pPr>
          </w:p>
        </w:tc>
        <w:tc>
          <w:tcPr>
            <w:tcW w:w="995"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公开02表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995"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678"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本年收入合计 </w:t>
            </w:r>
          </w:p>
        </w:tc>
        <w:tc>
          <w:tcPr>
            <w:tcW w:w="497"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财政拨款收入 </w:t>
            </w:r>
          </w:p>
        </w:tc>
        <w:tc>
          <w:tcPr>
            <w:tcW w:w="497"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上级补助收入 </w:t>
            </w:r>
          </w:p>
        </w:tc>
        <w:tc>
          <w:tcPr>
            <w:tcW w:w="497"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事业收入 </w:t>
            </w:r>
          </w:p>
        </w:tc>
        <w:tc>
          <w:tcPr>
            <w:tcW w:w="497"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经营收入 </w:t>
            </w:r>
          </w:p>
        </w:tc>
        <w:tc>
          <w:tcPr>
            <w:tcW w:w="497"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附属单位上缴收入 </w:t>
            </w:r>
          </w:p>
        </w:tc>
        <w:tc>
          <w:tcPr>
            <w:tcW w:w="497"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99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科目名称 </w:t>
            </w:r>
          </w:p>
        </w:tc>
        <w:tc>
          <w:tcPr>
            <w:tcW w:w="67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99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67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99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67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97"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一般公共服务支出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组织事务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行政运行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2013202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农林水支出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农业农村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2130152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对高校毕业生到基层任职补助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21305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扶贫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2130599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其他扶贫支出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21307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农村综合改革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2130705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对村民委员会和村党支部的补助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注：本表反映部门本年度取得的各项收入情况。本表金额转换为万元时，因四舍五入可能存在尾数误差。 </w:t>
            </w:r>
          </w:p>
        </w:tc>
      </w:tr>
    </w:tbl>
    <w:p>
      <w:pPr>
        <w:pStyle w:val="11"/>
        <w:keepNext w:val="0"/>
        <w:keepLines w:val="0"/>
        <w:widowControl/>
        <w:suppressLineNumbers w:val="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11"/>
              <w:keepNext w:val="0"/>
              <w:keepLines w:val="0"/>
              <w:widowControl/>
              <w:suppressLineNumbers w:val="0"/>
              <w:jc w:val="both"/>
              <w:rPr>
                <w:rFonts w:ascii="宋体" w:hAnsi="宋体" w:eastAsia="宋体" w:cs="宋体"/>
                <w:b w:val="0"/>
                <w:bCs w:val="0"/>
                <w:sz w:val="40"/>
                <w:szCs w:val="40"/>
              </w:rPr>
            </w:pPr>
          </w:p>
          <w:p>
            <w:pPr>
              <w:pStyle w:val="11"/>
              <w:keepNext w:val="0"/>
              <w:keepLines w:val="0"/>
              <w:widowControl/>
              <w:suppressLineNumbers w:val="0"/>
              <w:jc w:val="both"/>
              <w:rPr>
                <w:rFonts w:ascii="宋体" w:hAnsi="宋体" w:eastAsia="宋体" w:cs="宋体"/>
                <w:b w:val="0"/>
                <w:bCs w:val="0"/>
                <w:sz w:val="40"/>
                <w:szCs w:val="40"/>
              </w:rPr>
            </w:pPr>
          </w:p>
          <w:p>
            <w:pPr>
              <w:pStyle w:val="11"/>
              <w:keepNext w:val="0"/>
              <w:keepLines w:val="0"/>
              <w:widowControl/>
              <w:suppressLineNumbers w:val="0"/>
              <w:jc w:val="center"/>
            </w:pPr>
            <w:r>
              <w:rPr>
                <w:rFonts w:ascii="宋体" w:hAnsi="宋体" w:eastAsia="宋体" w:cs="宋体"/>
                <w:b w:val="0"/>
                <w:bCs w:val="0"/>
                <w:sz w:val="40"/>
                <w:szCs w:val="40"/>
              </w:rPr>
              <w:t xml:space="preserve">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25" w:type="pct"/>
            <w:shd w:val="clear" w:color="auto" w:fill="auto"/>
            <w:vAlign w:val="center"/>
          </w:tcPr>
          <w:p>
            <w:pPr>
              <w:pStyle w:val="11"/>
              <w:keepNext w:val="0"/>
              <w:keepLines w:val="0"/>
              <w:widowControl/>
              <w:suppressLineNumbers w:val="0"/>
            </w:pPr>
          </w:p>
        </w:tc>
        <w:tc>
          <w:tcPr>
            <w:tcW w:w="125" w:type="pct"/>
            <w:shd w:val="clear" w:color="auto" w:fill="auto"/>
            <w:vAlign w:val="center"/>
          </w:tcPr>
          <w:p>
            <w:pPr>
              <w:pStyle w:val="11"/>
              <w:keepNext w:val="0"/>
              <w:keepLines w:val="0"/>
              <w:widowControl/>
              <w:suppressLineNumbers w:val="0"/>
            </w:pPr>
          </w:p>
        </w:tc>
        <w:tc>
          <w:tcPr>
            <w:tcW w:w="125" w:type="pct"/>
            <w:shd w:val="clear" w:color="auto" w:fill="auto"/>
            <w:vAlign w:val="center"/>
          </w:tcPr>
          <w:p>
            <w:pPr>
              <w:pStyle w:val="11"/>
              <w:keepNext w:val="0"/>
              <w:keepLines w:val="0"/>
              <w:widowControl/>
              <w:suppressLineNumbers w:val="0"/>
            </w:pPr>
          </w:p>
        </w:tc>
        <w:tc>
          <w:tcPr>
            <w:tcW w:w="1105" w:type="pct"/>
            <w:shd w:val="clear" w:color="auto" w:fill="auto"/>
            <w:vAlign w:val="center"/>
          </w:tcPr>
          <w:p>
            <w:pPr>
              <w:pStyle w:val="11"/>
              <w:keepNext w:val="0"/>
              <w:keepLines w:val="0"/>
              <w:widowControl/>
              <w:suppressLineNumbers w:val="0"/>
            </w:pPr>
          </w:p>
        </w:tc>
        <w:tc>
          <w:tcPr>
            <w:tcW w:w="753" w:type="pct"/>
            <w:shd w:val="clear" w:color="auto" w:fill="auto"/>
            <w:vAlign w:val="center"/>
          </w:tcPr>
          <w:p>
            <w:pPr>
              <w:pStyle w:val="11"/>
              <w:keepNext w:val="0"/>
              <w:keepLines w:val="0"/>
              <w:widowControl/>
              <w:suppressLineNumbers w:val="0"/>
            </w:pPr>
          </w:p>
        </w:tc>
        <w:tc>
          <w:tcPr>
            <w:tcW w:w="552" w:type="pct"/>
            <w:shd w:val="clear" w:color="auto" w:fill="auto"/>
            <w:vAlign w:val="center"/>
          </w:tcPr>
          <w:p>
            <w:pPr>
              <w:pStyle w:val="11"/>
              <w:keepNext w:val="0"/>
              <w:keepLines w:val="0"/>
              <w:widowControl/>
              <w:suppressLineNumbers w:val="0"/>
            </w:pPr>
          </w:p>
        </w:tc>
        <w:tc>
          <w:tcPr>
            <w:tcW w:w="552" w:type="pct"/>
            <w:shd w:val="clear" w:color="auto" w:fill="auto"/>
            <w:vAlign w:val="center"/>
          </w:tcPr>
          <w:p>
            <w:pPr>
              <w:pStyle w:val="11"/>
              <w:keepNext w:val="0"/>
              <w:keepLines w:val="0"/>
              <w:widowControl/>
              <w:suppressLineNumbers w:val="0"/>
            </w:pPr>
          </w:p>
        </w:tc>
        <w:tc>
          <w:tcPr>
            <w:tcW w:w="552" w:type="pct"/>
            <w:shd w:val="clear" w:color="auto" w:fill="auto"/>
            <w:vAlign w:val="center"/>
          </w:tcPr>
          <w:p>
            <w:pPr>
              <w:pStyle w:val="11"/>
              <w:keepNext w:val="0"/>
              <w:keepLines w:val="0"/>
              <w:widowControl/>
              <w:suppressLineNumbers w:val="0"/>
            </w:pPr>
          </w:p>
        </w:tc>
        <w:tc>
          <w:tcPr>
            <w:tcW w:w="1105"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公开03表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1105"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75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本年支出合计 </w:t>
            </w:r>
          </w:p>
        </w:tc>
        <w:tc>
          <w:tcPr>
            <w:tcW w:w="552"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基本支出 </w:t>
            </w:r>
          </w:p>
        </w:tc>
        <w:tc>
          <w:tcPr>
            <w:tcW w:w="552"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项目支出 </w:t>
            </w:r>
          </w:p>
        </w:tc>
        <w:tc>
          <w:tcPr>
            <w:tcW w:w="552"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上缴上级支出 </w:t>
            </w:r>
          </w:p>
        </w:tc>
        <w:tc>
          <w:tcPr>
            <w:tcW w:w="552"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经营支出 </w:t>
            </w:r>
          </w:p>
        </w:tc>
        <w:tc>
          <w:tcPr>
            <w:tcW w:w="552"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对附属单位补助支出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110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科目名称 </w:t>
            </w:r>
          </w:p>
        </w:tc>
        <w:tc>
          <w:tcPr>
            <w:tcW w:w="75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1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75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10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75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5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910.96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503.29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一般公共服务支出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组织事务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行政运行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2013202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农林水支出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农业农村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2130152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对高校毕业生到基层任职补助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21305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扶贫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2130599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其他扶贫支出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21307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农村综合改革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2130705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对村民委员会和村党支部的补助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注：本表反映部门本年度各项支出情况。本表金额转换为万元时，因四舍五入可能存在尾数误差。 </w:t>
            </w:r>
          </w:p>
        </w:tc>
      </w:tr>
    </w:tbl>
    <w:p>
      <w:pPr>
        <w:pStyle w:val="11"/>
        <w:keepNext w:val="0"/>
        <w:keepLines w:val="0"/>
        <w:widowControl/>
        <w:suppressLineNumbers w:val="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pPr>
            <w:r>
              <w:rPr>
                <w:rFonts w:ascii="宋体" w:hAnsi="宋体" w:eastAsia="宋体" w:cs="宋体"/>
                <w:b w:val="0"/>
                <w:bCs w:val="0"/>
                <w:sz w:val="40"/>
                <w:szCs w:val="40"/>
              </w:rPr>
              <w:t xml:space="preserve">财政拨款收入支出决算总表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shd w:val="clear" w:color="auto" w:fill="auto"/>
            <w:vAlign w:val="center"/>
          </w:tcPr>
          <w:p>
            <w:pPr>
              <w:pStyle w:val="11"/>
              <w:keepNext w:val="0"/>
              <w:keepLines w:val="0"/>
              <w:widowControl/>
              <w:suppressLineNumbers w:val="0"/>
            </w:pPr>
          </w:p>
        </w:tc>
        <w:tc>
          <w:tcPr>
            <w:tcW w:w="165" w:type="pct"/>
            <w:shd w:val="clear" w:color="auto" w:fill="auto"/>
            <w:vAlign w:val="center"/>
          </w:tcPr>
          <w:p>
            <w:pPr>
              <w:pStyle w:val="11"/>
              <w:keepNext w:val="0"/>
              <w:keepLines w:val="0"/>
              <w:widowControl/>
              <w:suppressLineNumbers w:val="0"/>
            </w:pPr>
          </w:p>
        </w:tc>
        <w:tc>
          <w:tcPr>
            <w:tcW w:w="486" w:type="pct"/>
            <w:shd w:val="clear" w:color="auto" w:fill="auto"/>
            <w:vAlign w:val="center"/>
          </w:tcPr>
          <w:p>
            <w:pPr>
              <w:pStyle w:val="11"/>
              <w:keepNext w:val="0"/>
              <w:keepLines w:val="0"/>
              <w:widowControl/>
              <w:suppressLineNumbers w:val="0"/>
            </w:pPr>
          </w:p>
        </w:tc>
        <w:tc>
          <w:tcPr>
            <w:tcW w:w="1151" w:type="pct"/>
            <w:shd w:val="clear" w:color="auto" w:fill="auto"/>
            <w:vAlign w:val="center"/>
          </w:tcPr>
          <w:p>
            <w:pPr>
              <w:pStyle w:val="11"/>
              <w:keepNext w:val="0"/>
              <w:keepLines w:val="0"/>
              <w:widowControl/>
              <w:suppressLineNumbers w:val="0"/>
            </w:pPr>
          </w:p>
        </w:tc>
        <w:tc>
          <w:tcPr>
            <w:tcW w:w="165" w:type="pct"/>
            <w:shd w:val="clear" w:color="auto" w:fill="auto"/>
            <w:vAlign w:val="center"/>
          </w:tcPr>
          <w:p>
            <w:pPr>
              <w:pStyle w:val="11"/>
              <w:keepNext w:val="0"/>
              <w:keepLines w:val="0"/>
              <w:widowControl/>
              <w:suppressLineNumbers w:val="0"/>
            </w:pPr>
          </w:p>
        </w:tc>
        <w:tc>
          <w:tcPr>
            <w:tcW w:w="664" w:type="pct"/>
            <w:shd w:val="clear" w:color="auto" w:fill="auto"/>
            <w:vAlign w:val="center"/>
          </w:tcPr>
          <w:p>
            <w:pPr>
              <w:pStyle w:val="11"/>
              <w:keepNext w:val="0"/>
              <w:keepLines w:val="0"/>
              <w:widowControl/>
              <w:suppressLineNumbers w:val="0"/>
            </w:pPr>
          </w:p>
        </w:tc>
        <w:tc>
          <w:tcPr>
            <w:tcW w:w="456" w:type="pct"/>
            <w:shd w:val="clear" w:color="auto" w:fill="auto"/>
            <w:vAlign w:val="center"/>
          </w:tcPr>
          <w:p>
            <w:pPr>
              <w:pStyle w:val="11"/>
              <w:keepNext w:val="0"/>
              <w:keepLines w:val="0"/>
              <w:widowControl/>
              <w:suppressLineNumbers w:val="0"/>
            </w:pPr>
          </w:p>
        </w:tc>
        <w:tc>
          <w:tcPr>
            <w:tcW w:w="912"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公开04表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087" w:type="pct"/>
            <w:gridSpan w:val="7"/>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912"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收 入 </w:t>
            </w:r>
          </w:p>
        </w:tc>
        <w:tc>
          <w:tcPr>
            <w:tcW w:w="334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16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行次 </w:t>
            </w:r>
          </w:p>
        </w:tc>
        <w:tc>
          <w:tcPr>
            <w:tcW w:w="48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金额 </w:t>
            </w:r>
          </w:p>
        </w:tc>
        <w:tc>
          <w:tcPr>
            <w:tcW w:w="1151"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165"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行次 </w:t>
            </w:r>
          </w:p>
        </w:tc>
        <w:tc>
          <w:tcPr>
            <w:tcW w:w="66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45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一般公共预算财政拨款 </w:t>
            </w:r>
          </w:p>
        </w:tc>
        <w:tc>
          <w:tcPr>
            <w:tcW w:w="45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政府性基金预算财政拨款 </w:t>
            </w:r>
          </w:p>
        </w:tc>
        <w:tc>
          <w:tcPr>
            <w:tcW w:w="45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国有资本经营预算财政拨款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8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151"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5"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66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5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5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5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一、一般公共预算财政拨款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1,414.25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二、政府性基金预算财政拨款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二、外交支出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三、国有资本经营财政拨款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三、国防支出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五、教育支出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十六、金融支出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本年收入合计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本年支出合计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年初财政拨款结转和结余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年末财政拨款结转和结余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一般公共预算财政拨款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政府性基金预算财政拨款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国有资本经营预算财政拨款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总计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总计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pPr>
        <w:pStyle w:val="11"/>
        <w:keepNext w:val="0"/>
        <w:keepLines w:val="0"/>
        <w:widowControl/>
        <w:suppressLineNumbers w:val="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pPr>
            <w:r>
              <w:rPr>
                <w:rFonts w:ascii="宋体" w:hAnsi="宋体" w:eastAsia="宋体" w:cs="宋体"/>
                <w:b w:val="0"/>
                <w:bCs w:val="0"/>
                <w:sz w:val="40"/>
                <w:szCs w:val="40"/>
              </w:rPr>
              <w:t xml:space="preserve">一般公共预算财政拨款支出决算表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1" w:type="pct"/>
            <w:shd w:val="clear" w:color="auto" w:fill="auto"/>
            <w:vAlign w:val="center"/>
          </w:tcPr>
          <w:p>
            <w:pPr>
              <w:pStyle w:val="11"/>
              <w:keepNext w:val="0"/>
              <w:keepLines w:val="0"/>
              <w:widowControl/>
              <w:suppressLineNumbers w:val="0"/>
            </w:pPr>
          </w:p>
        </w:tc>
        <w:tc>
          <w:tcPr>
            <w:tcW w:w="141" w:type="pct"/>
            <w:shd w:val="clear" w:color="auto" w:fill="auto"/>
            <w:vAlign w:val="center"/>
          </w:tcPr>
          <w:p>
            <w:pPr>
              <w:pStyle w:val="11"/>
              <w:keepNext w:val="0"/>
              <w:keepLines w:val="0"/>
              <w:widowControl/>
              <w:suppressLineNumbers w:val="0"/>
            </w:pPr>
          </w:p>
        </w:tc>
        <w:tc>
          <w:tcPr>
            <w:tcW w:w="141" w:type="pct"/>
            <w:shd w:val="clear" w:color="auto" w:fill="auto"/>
            <w:vAlign w:val="center"/>
          </w:tcPr>
          <w:p>
            <w:pPr>
              <w:pStyle w:val="11"/>
              <w:keepNext w:val="0"/>
              <w:keepLines w:val="0"/>
              <w:widowControl/>
              <w:suppressLineNumbers w:val="0"/>
            </w:pPr>
          </w:p>
        </w:tc>
        <w:tc>
          <w:tcPr>
            <w:tcW w:w="1683" w:type="pct"/>
            <w:shd w:val="clear" w:color="auto" w:fill="auto"/>
            <w:vAlign w:val="center"/>
          </w:tcPr>
          <w:p>
            <w:pPr>
              <w:pStyle w:val="11"/>
              <w:keepNext w:val="0"/>
              <w:keepLines w:val="0"/>
              <w:widowControl/>
              <w:suppressLineNumbers w:val="0"/>
            </w:pPr>
          </w:p>
        </w:tc>
        <w:tc>
          <w:tcPr>
            <w:tcW w:w="964" w:type="pct"/>
            <w:shd w:val="clear" w:color="auto" w:fill="auto"/>
            <w:vAlign w:val="center"/>
          </w:tcPr>
          <w:p>
            <w:pPr>
              <w:pStyle w:val="11"/>
              <w:keepNext w:val="0"/>
              <w:keepLines w:val="0"/>
              <w:widowControl/>
              <w:suppressLineNumbers w:val="0"/>
            </w:pPr>
          </w:p>
        </w:tc>
        <w:tc>
          <w:tcPr>
            <w:tcW w:w="1928"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公开05表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071" w:type="pct"/>
            <w:gridSpan w:val="5"/>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1928"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289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168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科目名称 </w:t>
            </w:r>
          </w:p>
        </w:tc>
        <w:tc>
          <w:tcPr>
            <w:tcW w:w="96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小计 </w:t>
            </w:r>
          </w:p>
        </w:tc>
        <w:tc>
          <w:tcPr>
            <w:tcW w:w="96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基本支出 </w:t>
            </w:r>
          </w:p>
        </w:tc>
        <w:tc>
          <w:tcPr>
            <w:tcW w:w="96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8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96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96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96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8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96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96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96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1,414.25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910.96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503.29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一般公共服务支出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组织事务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1,055.78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行政运行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552.49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2013202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农林水支出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358.47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农业农村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2130152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对高校毕业生到基层任职补助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13.71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21305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扶贫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2130599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其他扶贫支出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44.76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21307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农村综合改革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2130705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对村民委员会和村党支部的补助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300.00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注：本表反映部门本年度一般公共预算财政拨款支出情况。本表金额转换为万元时，因四舍五入可能存在尾数误差。 </w:t>
            </w:r>
          </w:p>
        </w:tc>
      </w:tr>
    </w:tbl>
    <w:p>
      <w:pPr>
        <w:pStyle w:val="11"/>
        <w:keepNext w:val="0"/>
        <w:keepLines w:val="0"/>
        <w:widowControl/>
        <w:suppressLineNumbers w:val="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pPr>
            <w:r>
              <w:rPr>
                <w:rFonts w:ascii="宋体" w:hAnsi="宋体" w:eastAsia="宋体" w:cs="宋体"/>
                <w:b w:val="0"/>
                <w:bCs w:val="0"/>
                <w:sz w:val="40"/>
                <w:szCs w:val="40"/>
              </w:rPr>
              <w:t xml:space="preserve">一般公共预算财政拨款基本支出决算表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shd w:val="clear" w:color="auto" w:fill="auto"/>
            <w:vAlign w:val="center"/>
          </w:tcPr>
          <w:p>
            <w:pPr>
              <w:pStyle w:val="11"/>
              <w:keepNext w:val="0"/>
              <w:keepLines w:val="0"/>
              <w:widowControl/>
              <w:suppressLineNumbers w:val="0"/>
            </w:pPr>
          </w:p>
        </w:tc>
        <w:tc>
          <w:tcPr>
            <w:tcW w:w="1053" w:type="pct"/>
            <w:shd w:val="clear" w:color="auto" w:fill="auto"/>
            <w:vAlign w:val="center"/>
          </w:tcPr>
          <w:p>
            <w:pPr>
              <w:pStyle w:val="11"/>
              <w:keepNext w:val="0"/>
              <w:keepLines w:val="0"/>
              <w:widowControl/>
              <w:suppressLineNumbers w:val="0"/>
            </w:pPr>
          </w:p>
        </w:tc>
        <w:tc>
          <w:tcPr>
            <w:tcW w:w="538" w:type="pct"/>
            <w:shd w:val="clear" w:color="auto" w:fill="auto"/>
            <w:vAlign w:val="center"/>
          </w:tcPr>
          <w:p>
            <w:pPr>
              <w:pStyle w:val="11"/>
              <w:keepNext w:val="0"/>
              <w:keepLines w:val="0"/>
              <w:widowControl/>
              <w:suppressLineNumbers w:val="0"/>
            </w:pPr>
          </w:p>
        </w:tc>
        <w:tc>
          <w:tcPr>
            <w:tcW w:w="224" w:type="pct"/>
            <w:shd w:val="clear" w:color="auto" w:fill="auto"/>
            <w:vAlign w:val="center"/>
          </w:tcPr>
          <w:p>
            <w:pPr>
              <w:pStyle w:val="11"/>
              <w:keepNext w:val="0"/>
              <w:keepLines w:val="0"/>
              <w:widowControl/>
              <w:suppressLineNumbers w:val="0"/>
            </w:pPr>
          </w:p>
        </w:tc>
        <w:tc>
          <w:tcPr>
            <w:tcW w:w="829" w:type="pct"/>
            <w:shd w:val="clear" w:color="auto" w:fill="auto"/>
            <w:vAlign w:val="center"/>
          </w:tcPr>
          <w:p>
            <w:pPr>
              <w:pStyle w:val="11"/>
              <w:keepNext w:val="0"/>
              <w:keepLines w:val="0"/>
              <w:widowControl/>
              <w:suppressLineNumbers w:val="0"/>
            </w:pPr>
          </w:p>
        </w:tc>
        <w:tc>
          <w:tcPr>
            <w:tcW w:w="538" w:type="pct"/>
            <w:shd w:val="clear" w:color="auto" w:fill="auto"/>
            <w:vAlign w:val="center"/>
          </w:tcPr>
          <w:p>
            <w:pPr>
              <w:pStyle w:val="11"/>
              <w:keepNext w:val="0"/>
              <w:keepLines w:val="0"/>
              <w:widowControl/>
              <w:suppressLineNumbers w:val="0"/>
            </w:pPr>
          </w:p>
        </w:tc>
        <w:tc>
          <w:tcPr>
            <w:tcW w:w="224" w:type="pct"/>
            <w:shd w:val="clear" w:color="auto" w:fill="auto"/>
            <w:vAlign w:val="center"/>
          </w:tcPr>
          <w:p>
            <w:pPr>
              <w:pStyle w:val="11"/>
              <w:keepNext w:val="0"/>
              <w:keepLines w:val="0"/>
              <w:widowControl/>
              <w:suppressLineNumbers w:val="0"/>
            </w:pPr>
          </w:p>
        </w:tc>
        <w:tc>
          <w:tcPr>
            <w:tcW w:w="1367"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18"/>
                <w:szCs w:val="18"/>
              </w:rPr>
              <w:t xml:space="preserve">公开06表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632" w:type="pct"/>
            <w:gridSpan w:val="7"/>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1367"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18"/>
                <w:szCs w:val="18"/>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人员经费 </w:t>
            </w:r>
          </w:p>
        </w:tc>
        <w:tc>
          <w:tcPr>
            <w:tcW w:w="318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公用经费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科目编码 </w:t>
            </w:r>
          </w:p>
        </w:tc>
        <w:tc>
          <w:tcPr>
            <w:tcW w:w="105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科目名称 </w:t>
            </w:r>
          </w:p>
        </w:tc>
        <w:tc>
          <w:tcPr>
            <w:tcW w:w="538"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决算数 </w:t>
            </w:r>
          </w:p>
        </w:tc>
        <w:tc>
          <w:tcPr>
            <w:tcW w:w="22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科目编码 </w:t>
            </w:r>
          </w:p>
        </w:tc>
        <w:tc>
          <w:tcPr>
            <w:tcW w:w="829"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科目名称 </w:t>
            </w:r>
          </w:p>
        </w:tc>
        <w:tc>
          <w:tcPr>
            <w:tcW w:w="538"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决算数 </w:t>
            </w:r>
          </w:p>
        </w:tc>
        <w:tc>
          <w:tcPr>
            <w:tcW w:w="22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科目编码 </w:t>
            </w:r>
          </w:p>
        </w:tc>
        <w:tc>
          <w:tcPr>
            <w:tcW w:w="829"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科目名称 </w:t>
            </w:r>
          </w:p>
        </w:tc>
        <w:tc>
          <w:tcPr>
            <w:tcW w:w="538"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05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3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2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82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3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2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82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3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301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工资福利支出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425.08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302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商品和服务支出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349.63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307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债务利息及费用支出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基本工资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152.44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办公费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11.97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30701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国内债务付息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30102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津贴补贴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91.84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印刷费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20.97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30702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国外债务付息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奖金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59.12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咨询费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310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资本性支出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30106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伙食补助费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14.87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手续费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房屋建筑物购建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30107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绩效工资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办公设备购置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30108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机关事业单位基本养老保险缴费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43.86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电费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5.34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31003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专用设备购置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30109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职业年金缴费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邮电费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2.30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31005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基础设施建设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30110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职工基本医疗保险缴费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26.46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取暖费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大型修缮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30111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公务员医疗补助缴费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30209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物业管理费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信息网络及软件购置更新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30112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其他社会保障缴费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6.45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30211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差旅费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9.39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物资储备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30113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住房公积金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28.14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30212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因公出国（境）费用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31009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土地补偿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30114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医疗费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30213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维修（护）费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250.00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31010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安置补助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30199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其他工资福利支出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1.89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30214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租赁费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1.50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31011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地上附着物和青苗补偿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303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对个人和家庭的补助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128.52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30215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会议费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2.55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31012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拆迁补偿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离休费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55.56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30216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培训费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8.04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31013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公务用车购置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退休费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30217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公务接待费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2.01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31019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其他交通工具购置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退职（役）费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30218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专用材料费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31021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文物和陈列品购置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30304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抚恤金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0.43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30224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被装购置费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31022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无形资产购置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30305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生活补助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1.40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30225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专用燃料费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31099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其他资本性支出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30306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救济费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30226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劳务费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0.38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399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bCs/>
                <w:sz w:val="22"/>
                <w:szCs w:val="22"/>
              </w:rPr>
              <w:t xml:space="preserve">其他支出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30307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医疗费补助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30227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委托业务费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39906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赠与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30308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助学金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30228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工会经费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23.74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39907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国家赔偿费用支出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30309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奖励金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55.56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30229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福利费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39908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对民间非营利组织和群众性自治组织补贴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30310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个人农业生产补贴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30231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公务用车运行维护费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39999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30311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代缴社会保险费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30239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其他交通费用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6.44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30399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其他对个人和家庭的补助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15.57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30240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税金及附加费用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30299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其他商品和服务支出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5.00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人员经费合计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553.60 </w:t>
            </w:r>
          </w:p>
        </w:tc>
        <w:tc>
          <w:tcPr>
            <w:tcW w:w="264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bCs/>
                <w:sz w:val="22"/>
                <w:szCs w:val="22"/>
              </w:rPr>
              <w:t xml:space="preserve">公用经费合计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bCs/>
                <w:sz w:val="22"/>
                <w:szCs w:val="22"/>
              </w:rPr>
              <w:t xml:space="preserve">357.36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注：本表反映部门本年度一般公共预算财政拨款基本支出明细情况。本表金额转换为万元时，因四舍五入可能存在尾数误差。 </w:t>
            </w:r>
          </w:p>
        </w:tc>
      </w:tr>
    </w:tbl>
    <w:p>
      <w:pPr>
        <w:pStyle w:val="11"/>
        <w:keepNext w:val="0"/>
        <w:keepLines w:val="0"/>
        <w:widowControl/>
        <w:suppressLineNumbers w:val="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pPr>
            <w:r>
              <w:rPr>
                <w:rFonts w:ascii="宋体" w:hAnsi="宋体" w:eastAsia="宋体" w:cs="宋体"/>
                <w:b w:val="0"/>
                <w:bCs w:val="0"/>
                <w:sz w:val="40"/>
                <w:szCs w:val="40"/>
              </w:rPr>
              <w:t xml:space="preserve">一般公共预算财政拨款“三公”经费支出决算表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416" w:type="pct"/>
            <w:shd w:val="clear" w:color="auto" w:fill="auto"/>
            <w:vAlign w:val="center"/>
          </w:tcPr>
          <w:p>
            <w:pPr>
              <w:pStyle w:val="11"/>
              <w:keepNext w:val="0"/>
              <w:keepLines w:val="0"/>
              <w:widowControl/>
              <w:suppressLineNumbers w:val="0"/>
            </w:pPr>
          </w:p>
        </w:tc>
        <w:tc>
          <w:tcPr>
            <w:tcW w:w="833"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公开07表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166" w:type="pct"/>
            <w:gridSpan w:val="10"/>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833"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预算数 </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1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41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公务用车购置及运行费 </w:t>
            </w:r>
          </w:p>
        </w:tc>
        <w:tc>
          <w:tcPr>
            <w:tcW w:w="41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公务接待费 </w:t>
            </w:r>
          </w:p>
        </w:tc>
        <w:tc>
          <w:tcPr>
            <w:tcW w:w="41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41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公务用车购置及运行费 </w:t>
            </w:r>
          </w:p>
        </w:tc>
        <w:tc>
          <w:tcPr>
            <w:tcW w:w="416"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公务接待费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1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小计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公务用车运行费 </w:t>
            </w:r>
          </w:p>
        </w:tc>
        <w:tc>
          <w:tcPr>
            <w:tcW w:w="41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1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1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小计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公务用车运行费 </w:t>
            </w:r>
          </w:p>
        </w:tc>
        <w:tc>
          <w:tcPr>
            <w:tcW w:w="416"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7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8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9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hint="eastAsia" w:cs="宋体"/>
                <w:b w:val="0"/>
                <w:bCs w:val="0"/>
                <w:sz w:val="22"/>
                <w:szCs w:val="22"/>
                <w:lang w:val="en-US" w:eastAsia="zh-CN"/>
              </w:rPr>
              <w:t>5.78</w:t>
            </w:r>
            <w:r>
              <w:rPr>
                <w:rFonts w:ascii="宋体" w:hAnsi="宋体" w:eastAsia="宋体" w:cs="宋体"/>
                <w:b w:val="0"/>
                <w:bCs w:val="0"/>
                <w:sz w:val="22"/>
                <w:szCs w:val="22"/>
              </w:rPr>
              <w:t xml:space="preserve">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hint="eastAsia" w:cs="宋体"/>
                <w:b w:val="0"/>
                <w:bCs w:val="0"/>
                <w:sz w:val="22"/>
                <w:szCs w:val="22"/>
                <w:lang w:val="en-US" w:eastAsia="zh-CN"/>
              </w:rPr>
              <w:t>5.78</w:t>
            </w:r>
            <w:r>
              <w:rPr>
                <w:rFonts w:ascii="宋体" w:hAnsi="宋体" w:eastAsia="宋体" w:cs="宋体"/>
                <w:b w:val="0"/>
                <w:bCs w:val="0"/>
                <w:sz w:val="22"/>
                <w:szCs w:val="22"/>
              </w:rPr>
              <w:t xml:space="preserve">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2.01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11"/>
              <w:keepNext w:val="0"/>
              <w:keepLines w:val="0"/>
              <w:widowControl/>
              <w:suppressLineNumbers w:val="0"/>
              <w:jc w:val="right"/>
            </w:pPr>
            <w:r>
              <w:rPr>
                <w:rFonts w:ascii="宋体" w:hAnsi="宋体" w:eastAsia="宋体" w:cs="宋体"/>
                <w:b w:val="0"/>
                <w:bCs w:val="0"/>
                <w:sz w:val="22"/>
                <w:szCs w:val="22"/>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 </w:t>
            </w:r>
          </w:p>
        </w:tc>
      </w:tr>
    </w:tbl>
    <w:p>
      <w:pPr>
        <w:pStyle w:val="11"/>
        <w:keepNext w:val="0"/>
        <w:keepLines w:val="0"/>
        <w:widowControl/>
        <w:suppressLineNumbers w:val="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4"/>
        <w:gridCol w:w="334"/>
        <w:gridCol w:w="334"/>
        <w:gridCol w:w="3458"/>
        <w:gridCol w:w="1180"/>
        <w:gridCol w:w="1969"/>
        <w:gridCol w:w="4231"/>
        <w:gridCol w:w="1517"/>
        <w:gridCol w:w="1517"/>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pPr>
            <w:r>
              <w:rPr>
                <w:rFonts w:ascii="宋体" w:hAnsi="宋体" w:eastAsia="宋体" w:cs="宋体"/>
                <w:b w:val="0"/>
                <w:bCs w:val="0"/>
                <w:sz w:val="40"/>
                <w:szCs w:val="40"/>
              </w:rPr>
              <w:t xml:space="preserve">政府性基金预算财政拨款收入支出决算表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color="auto" w:fill="auto"/>
            <w:vAlign w:val="center"/>
          </w:tcPr>
          <w:p>
            <w:pPr>
              <w:pStyle w:val="11"/>
              <w:keepNext w:val="0"/>
              <w:keepLines w:val="0"/>
              <w:widowControl/>
              <w:suppressLineNumbers w:val="0"/>
            </w:pPr>
          </w:p>
        </w:tc>
        <w:tc>
          <w:tcPr>
            <w:tcW w:w="104" w:type="pct"/>
            <w:shd w:val="clear" w:color="auto" w:fill="auto"/>
            <w:vAlign w:val="center"/>
          </w:tcPr>
          <w:p>
            <w:pPr>
              <w:pStyle w:val="11"/>
              <w:keepNext w:val="0"/>
              <w:keepLines w:val="0"/>
              <w:widowControl/>
              <w:suppressLineNumbers w:val="0"/>
            </w:pPr>
          </w:p>
        </w:tc>
        <w:tc>
          <w:tcPr>
            <w:tcW w:w="104" w:type="pct"/>
            <w:shd w:val="clear" w:color="auto" w:fill="auto"/>
            <w:vAlign w:val="center"/>
          </w:tcPr>
          <w:p>
            <w:pPr>
              <w:pStyle w:val="11"/>
              <w:keepNext w:val="0"/>
              <w:keepLines w:val="0"/>
              <w:widowControl/>
              <w:suppressLineNumbers w:val="0"/>
            </w:pPr>
          </w:p>
        </w:tc>
        <w:tc>
          <w:tcPr>
            <w:tcW w:w="1078" w:type="pct"/>
            <w:shd w:val="clear" w:color="auto" w:fill="auto"/>
            <w:vAlign w:val="center"/>
          </w:tcPr>
          <w:p>
            <w:pPr>
              <w:pStyle w:val="11"/>
              <w:keepNext w:val="0"/>
              <w:keepLines w:val="0"/>
              <w:widowControl/>
              <w:suppressLineNumbers w:val="0"/>
            </w:pPr>
          </w:p>
        </w:tc>
        <w:tc>
          <w:tcPr>
            <w:tcW w:w="368" w:type="pct"/>
            <w:shd w:val="clear" w:color="auto" w:fill="auto"/>
            <w:vAlign w:val="center"/>
          </w:tcPr>
          <w:p>
            <w:pPr>
              <w:pStyle w:val="11"/>
              <w:keepNext w:val="0"/>
              <w:keepLines w:val="0"/>
              <w:widowControl/>
              <w:suppressLineNumbers w:val="0"/>
            </w:pPr>
          </w:p>
        </w:tc>
        <w:tc>
          <w:tcPr>
            <w:tcW w:w="614" w:type="pct"/>
            <w:shd w:val="clear" w:color="auto" w:fill="auto"/>
            <w:vAlign w:val="center"/>
          </w:tcPr>
          <w:p>
            <w:pPr>
              <w:pStyle w:val="11"/>
              <w:keepNext w:val="0"/>
              <w:keepLines w:val="0"/>
              <w:widowControl/>
              <w:suppressLineNumbers w:val="0"/>
            </w:pPr>
          </w:p>
        </w:tc>
        <w:tc>
          <w:tcPr>
            <w:tcW w:w="335" w:type="pct"/>
            <w:shd w:val="clear" w:color="auto" w:fill="auto"/>
            <w:vAlign w:val="center"/>
          </w:tcPr>
          <w:p>
            <w:pPr>
              <w:pStyle w:val="11"/>
              <w:keepNext w:val="0"/>
              <w:keepLines w:val="0"/>
              <w:widowControl/>
              <w:suppressLineNumbers w:val="0"/>
            </w:pPr>
          </w:p>
        </w:tc>
        <w:tc>
          <w:tcPr>
            <w:tcW w:w="473" w:type="pct"/>
            <w:shd w:val="clear" w:color="auto" w:fill="auto"/>
            <w:vAlign w:val="center"/>
          </w:tcPr>
          <w:p>
            <w:pPr>
              <w:pStyle w:val="11"/>
              <w:keepNext w:val="0"/>
              <w:keepLines w:val="0"/>
              <w:widowControl/>
              <w:suppressLineNumbers w:val="0"/>
            </w:pPr>
          </w:p>
        </w:tc>
        <w:tc>
          <w:tcPr>
            <w:tcW w:w="1816"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公开08表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83" w:type="pct"/>
            <w:gridSpan w:val="8"/>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1816"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368"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年初结转和结余 </w:t>
            </w:r>
          </w:p>
        </w:tc>
        <w:tc>
          <w:tcPr>
            <w:tcW w:w="614"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本年收入 </w:t>
            </w:r>
          </w:p>
        </w:tc>
        <w:tc>
          <w:tcPr>
            <w:tcW w:w="12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本年支出 </w:t>
            </w:r>
          </w:p>
        </w:tc>
        <w:tc>
          <w:tcPr>
            <w:tcW w:w="134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1078"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科目名称 </w:t>
            </w:r>
          </w:p>
        </w:tc>
        <w:tc>
          <w:tcPr>
            <w:tcW w:w="36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61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19"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小计 </w:t>
            </w:r>
          </w:p>
        </w:tc>
        <w:tc>
          <w:tcPr>
            <w:tcW w:w="47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基本支出 </w:t>
            </w:r>
          </w:p>
        </w:tc>
        <w:tc>
          <w:tcPr>
            <w:tcW w:w="47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项目支出 </w:t>
            </w:r>
          </w:p>
        </w:tc>
        <w:tc>
          <w:tcPr>
            <w:tcW w:w="13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07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6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61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1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7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7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07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68"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614"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19"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7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7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4 </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5 </w:t>
            </w: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注：本表反映部门本年度政府性基金预算财政拨款收入、支出及结转和结余情况。本单位没有政府性基金收入，也没有使用政府性基金安排的支出，故本表无数据。 </w:t>
            </w:r>
          </w:p>
        </w:tc>
      </w:tr>
    </w:tbl>
    <w:p>
      <w:pPr>
        <w:pStyle w:val="11"/>
        <w:keepNext w:val="0"/>
        <w:keepLines w:val="0"/>
        <w:widowControl/>
        <w:suppressLineNumbers w:val="0"/>
      </w:pPr>
    </w:p>
    <w:p>
      <w:pPr>
        <w:spacing w:before="0" w:beforeAutospacing="0" w:after="2" w:afterAutospacing="0"/>
        <w:ind w:left="0" w:right="0"/>
        <w:jc w:val="center"/>
        <w:rPr>
          <w:sz w:val="21"/>
          <w:szCs w:val="21"/>
        </w:rPr>
      </w:pP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rPr>
                <w:rFonts w:ascii="宋体" w:hAnsi="宋体" w:eastAsia="宋体" w:cs="宋体"/>
                <w:b w:val="0"/>
                <w:bCs w:val="0"/>
                <w:sz w:val="40"/>
                <w:szCs w:val="40"/>
              </w:rPr>
            </w:pPr>
          </w:p>
          <w:p>
            <w:pPr>
              <w:pStyle w:val="11"/>
              <w:keepNext w:val="0"/>
              <w:keepLines w:val="0"/>
              <w:widowControl/>
              <w:suppressLineNumbers w:val="0"/>
              <w:jc w:val="center"/>
            </w:pPr>
            <w:r>
              <w:rPr>
                <w:rFonts w:ascii="宋体" w:hAnsi="宋体" w:eastAsia="宋体" w:cs="宋体"/>
                <w:b w:val="0"/>
                <w:bCs w:val="0"/>
                <w:sz w:val="40"/>
                <w:szCs w:val="40"/>
              </w:rPr>
              <w:t xml:space="preserve">国有资本经营预算财政拨款支出决算表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color="auto" w:fill="auto"/>
            <w:vAlign w:val="center"/>
          </w:tcPr>
          <w:p>
            <w:pPr>
              <w:pStyle w:val="11"/>
              <w:keepNext w:val="0"/>
              <w:keepLines w:val="0"/>
              <w:widowControl/>
              <w:suppressLineNumbers w:val="0"/>
            </w:pPr>
          </w:p>
        </w:tc>
        <w:tc>
          <w:tcPr>
            <w:tcW w:w="165" w:type="pct"/>
            <w:shd w:val="clear" w:color="auto" w:fill="auto"/>
            <w:vAlign w:val="center"/>
          </w:tcPr>
          <w:p>
            <w:pPr>
              <w:pStyle w:val="11"/>
              <w:keepNext w:val="0"/>
              <w:keepLines w:val="0"/>
              <w:widowControl/>
              <w:suppressLineNumbers w:val="0"/>
            </w:pPr>
          </w:p>
        </w:tc>
        <w:tc>
          <w:tcPr>
            <w:tcW w:w="165" w:type="pct"/>
            <w:shd w:val="clear" w:color="auto" w:fill="auto"/>
            <w:vAlign w:val="center"/>
          </w:tcPr>
          <w:p>
            <w:pPr>
              <w:pStyle w:val="11"/>
              <w:keepNext w:val="0"/>
              <w:keepLines w:val="0"/>
              <w:widowControl/>
              <w:suppressLineNumbers w:val="0"/>
            </w:pPr>
          </w:p>
        </w:tc>
        <w:tc>
          <w:tcPr>
            <w:tcW w:w="1972" w:type="pct"/>
            <w:shd w:val="clear" w:color="auto" w:fill="auto"/>
            <w:vAlign w:val="center"/>
          </w:tcPr>
          <w:p>
            <w:pPr>
              <w:pStyle w:val="11"/>
              <w:keepNext w:val="0"/>
              <w:keepLines w:val="0"/>
              <w:widowControl/>
              <w:suppressLineNumbers w:val="0"/>
            </w:pPr>
          </w:p>
        </w:tc>
        <w:tc>
          <w:tcPr>
            <w:tcW w:w="843" w:type="pct"/>
            <w:shd w:val="clear" w:color="auto" w:fill="auto"/>
            <w:vAlign w:val="center"/>
          </w:tcPr>
          <w:p>
            <w:pPr>
              <w:pStyle w:val="11"/>
              <w:keepNext w:val="0"/>
              <w:keepLines w:val="0"/>
              <w:widowControl/>
              <w:suppressLineNumbers w:val="0"/>
            </w:pPr>
          </w:p>
        </w:tc>
        <w:tc>
          <w:tcPr>
            <w:tcW w:w="1686"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公开09表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部门：中共桃江县委组织部 </w:t>
            </w:r>
          </w:p>
        </w:tc>
        <w:tc>
          <w:tcPr>
            <w:tcW w:w="1686" w:type="pct"/>
            <w:gridSpan w:val="2"/>
            <w:shd w:val="clear" w:color="auto" w:fill="auto"/>
            <w:vAlign w:val="center"/>
          </w:tcPr>
          <w:p>
            <w:pPr>
              <w:pStyle w:val="11"/>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 </w:t>
            </w:r>
          </w:p>
        </w:tc>
        <w:tc>
          <w:tcPr>
            <w:tcW w:w="25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1972"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科目名称 </w:t>
            </w:r>
          </w:p>
        </w:tc>
        <w:tc>
          <w:tcPr>
            <w:tcW w:w="84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84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基本支出 </w:t>
            </w:r>
          </w:p>
        </w:tc>
        <w:tc>
          <w:tcPr>
            <w:tcW w:w="843"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97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8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8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8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972"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8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8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843"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栏次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1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2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center"/>
            </w:pPr>
            <w:r>
              <w:rPr>
                <w:rFonts w:ascii="宋体" w:hAnsi="宋体" w:eastAsia="宋体" w:cs="宋体"/>
                <w:b w:val="0"/>
                <w:bCs w:val="0"/>
                <w:sz w:val="22"/>
                <w:szCs w:val="22"/>
              </w:rPr>
              <w:t xml:space="preserve">合计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11"/>
              <w:keepNext w:val="0"/>
              <w:keepLines w:val="0"/>
              <w:widowControl/>
              <w:suppressLineNumbers w:val="0"/>
              <w:jc w:val="left"/>
            </w:pPr>
            <w:r>
              <w:rPr>
                <w:rFonts w:ascii="宋体" w:hAnsi="宋体" w:eastAsia="宋体" w:cs="宋体"/>
                <w:b w:val="0"/>
                <w:bCs w:val="0"/>
                <w:sz w:val="22"/>
                <w:szCs w:val="22"/>
              </w:rPr>
              <w:t xml:space="preserve">注：本表反映部门本年度国有资本经营预算财政拨款支出情况。本单位没有国有资本经营预算财政拨款收入，也没有使用国有资本经营预算财政拨款安排的支出，故本表无数据。 </w:t>
            </w:r>
          </w:p>
        </w:tc>
      </w:tr>
    </w:tbl>
    <w:p>
      <w:pPr>
        <w:pStyle w:val="11"/>
        <w:keepNext w:val="0"/>
        <w:keepLines w:val="0"/>
        <w:widowControl/>
        <w:suppressLineNumbers w:val="0"/>
      </w:pPr>
    </w:p>
    <w:p>
      <w:pPr>
        <w:rPr>
          <w:color w:val="000000"/>
        </w:rPr>
        <w:sectPr>
          <w:pgSz w:w="16838" w:h="11906"/>
          <w:pgMar w:top="1080" w:right="400" w:bottom="1080" w:left="400" w:header="851" w:footer="992" w:gutter="0"/>
          <w:cols w:space="0" w:num="1"/>
          <w:docGrid w:type="linesAndChars" w:linePitch="160" w:charSpace="0"/>
        </w:sectPr>
      </w:pP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简体" w:cs="Times New Roman"/>
          <w:b w:val="0"/>
          <w:bCs w:val="0"/>
          <w:sz w:val="21"/>
          <w:szCs w:val="21"/>
        </w:rPr>
      </w:pPr>
      <w:r>
        <w:rPr>
          <w:rFonts w:hint="default" w:ascii="Times New Roman" w:hAnsi="Times New Roman" w:eastAsia="方正小标宋简体" w:cs="Times New Roman"/>
          <w:b w:val="0"/>
          <w:bCs w:val="0"/>
          <w:color w:val="000000"/>
          <w:sz w:val="36"/>
          <w:szCs w:val="36"/>
        </w:rPr>
        <w:t>第三部分 2020年度部门决算情况说明</w:t>
      </w:r>
      <w:r>
        <w:rPr>
          <w:rFonts w:hint="default" w:ascii="Times New Roman" w:hAnsi="Times New Roman" w:eastAsia="方正小标宋简体" w:cs="Times New Roman"/>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after="0" w:line="594" w:lineRule="exact"/>
        <w:textAlignment w:val="auto"/>
        <w:rPr>
          <w:rFonts w:hint="default" w:ascii="Times New Roman" w:hAnsi="Times New Roman" w:cs="Times New Roman"/>
          <w:b w:val="0"/>
          <w:bCs w:val="0"/>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一、收入支出决算总体情况说明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2020年度收、支总计1,414.25万元。与上一年度相比，收、支总计各增加540.43万元，增长61.85%。主要是因为人员和职能增加，项目增多，人员经费和项目经费均有所增加。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二、收入决算情况说明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2020年度收入合计1,414.25万元，其中：财政拨款收入1,414.25万元，占100%；上级补助收入0万元，占0%；事业收入0万元，占0%；经营收入0万元，占0%；附属单位上缴收入0万元，占0%；其他收入0万元，占0%。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三、支出决算情况说明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2020年度支出合计1,414.25万元，其中：基本支出910.96万元，占64.41%；项目支出503.29万元，占35.59%；上缴上级支出0万元，占0%；经营支出0万元，占0%；对附属单位补助支出0万元，占0%。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四、财政拨款收入支出决算总体情况说明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2020年度财政拨款收、支总计1,414.25万元。与上一年度相比，财政拨款收、支总计各增加540.43万元，增长61.85%。主要是因为人员和职能增加，项目增多，人员经费和项目经费均有所增加。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五、一般公共预算财政拨款支出决算情况说明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z w:val="32"/>
          <w:szCs w:val="32"/>
        </w:rPr>
        <w:t xml:space="preserve">（一）财政拨款支出决算总体情况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855"/>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2020年度财政拨款支出1,414.25万元，占本年支出合计的100%。与上一年度相比，财政拨款支出增加540.43万元，增长61.85%。主要是因为人员和职能增加，项目增多，人员经费和项目经费均有所增加。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z w:val="32"/>
          <w:szCs w:val="32"/>
        </w:rPr>
        <w:t xml:space="preserve">（二）财政拨款支出决算结构情况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2020年度财政拨款支出1,414.25万元，主要用于以下方面：一般公共服务支出1,055.78万元，占74.65%；农林水支出358.47万元，占25.35%。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z w:val="32"/>
          <w:szCs w:val="32"/>
        </w:rPr>
        <w:t xml:space="preserve">（三）财政拨款支出决算具体情况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2020年度财政拨款支出年初预算数为683.35万元，调整预算为1,414.25万元，支出决算数为1,414.25万元</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完成调整预算的100%</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完成年初预算的</w:t>
      </w:r>
      <w:r>
        <w:rPr>
          <w:rFonts w:hint="eastAsia" w:ascii="Times New Roman" w:hAnsi="Times New Roman" w:eastAsia="仿宋_GB2312" w:cs="Times New Roman"/>
          <w:b w:val="0"/>
          <w:bCs w:val="0"/>
          <w:color w:val="000000"/>
          <w:sz w:val="32"/>
          <w:szCs w:val="32"/>
          <w:lang w:val="en-US" w:eastAsia="zh-CN"/>
        </w:rPr>
        <w:t>206.96</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调增原因是</w:t>
      </w:r>
      <w:r>
        <w:rPr>
          <w:rFonts w:hint="eastAsia" w:ascii="Times New Roman" w:hAnsi="Times New Roman" w:eastAsia="仿宋_GB2312" w:cs="Times New Roman"/>
          <w:b w:val="0"/>
          <w:bCs w:val="0"/>
          <w:color w:val="000000"/>
          <w:sz w:val="32"/>
          <w:szCs w:val="32"/>
          <w:lang w:eastAsia="zh-CN"/>
        </w:rPr>
        <w:t>县级项目的追加，</w:t>
      </w:r>
      <w:r>
        <w:rPr>
          <w:rFonts w:hint="default" w:ascii="Times New Roman" w:hAnsi="Times New Roman" w:eastAsia="仿宋_GB2312" w:cs="Times New Roman"/>
          <w:b w:val="0"/>
          <w:bCs w:val="0"/>
          <w:color w:val="000000"/>
          <w:sz w:val="32"/>
          <w:szCs w:val="32"/>
        </w:rPr>
        <w:t xml:space="preserve">其中：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Style w:val="15"/>
          <w:rFonts w:hint="default" w:ascii="Times New Roman" w:hAnsi="Times New Roman" w:eastAsia="仿宋_GB2312" w:cs="Times New Roman"/>
          <w:b w:val="0"/>
          <w:bCs w:val="0"/>
          <w:color w:val="000000"/>
          <w:sz w:val="32"/>
          <w:szCs w:val="32"/>
        </w:rPr>
        <w:t>1、一般公共服务支出（类）组织事务（款）行政运行（项）</w:t>
      </w:r>
      <w:r>
        <w:rPr>
          <w:rFonts w:hint="default" w:ascii="Times New Roman" w:hAnsi="Times New Roman" w:eastAsia="仿宋_GB2312" w:cs="Times New Roman"/>
          <w:b w:val="0"/>
          <w:bCs w:val="0"/>
          <w:color w:val="000000"/>
          <w:sz w:val="32"/>
          <w:szCs w:val="32"/>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年初预算为411.44万元，支出决算为552.49万元，完成年初预算的134.28%。决算数大于年初预算数的主要原因是：人员增加，人员经费及日常公用经费均有所增加。</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Style w:val="15"/>
          <w:rFonts w:hint="default" w:ascii="Times New Roman" w:hAnsi="Times New Roman" w:eastAsia="仿宋_GB2312" w:cs="Times New Roman"/>
          <w:b w:val="0"/>
          <w:bCs w:val="0"/>
          <w:color w:val="000000"/>
          <w:sz w:val="32"/>
          <w:szCs w:val="32"/>
        </w:rPr>
        <w:t>2、一般公共服务支出（类）组织事务（款）一般行政管理事务（项）</w:t>
      </w:r>
      <w:r>
        <w:rPr>
          <w:rFonts w:hint="default" w:ascii="Times New Roman" w:hAnsi="Times New Roman" w:eastAsia="仿宋_GB2312" w:cs="Times New Roman"/>
          <w:b w:val="0"/>
          <w:bCs w:val="0"/>
          <w:color w:val="000000"/>
          <w:sz w:val="32"/>
          <w:szCs w:val="32"/>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年初预算为271.91万元，支出决算为503.29万元，完成年初预算的185.09%。决算数大于年初预算数的主要原因是：职能增加，项目经费增加。</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Style w:val="15"/>
          <w:rFonts w:hint="default" w:ascii="Times New Roman" w:hAnsi="Times New Roman" w:eastAsia="仿宋_GB2312" w:cs="Times New Roman"/>
          <w:b w:val="0"/>
          <w:bCs w:val="0"/>
          <w:color w:val="000000"/>
          <w:sz w:val="32"/>
          <w:szCs w:val="32"/>
        </w:rPr>
        <w:t>3、农林水支出（类）农业农村（款）对高校毕业生到基层任职补助（项）</w:t>
      </w:r>
      <w:r>
        <w:rPr>
          <w:rFonts w:hint="default" w:ascii="Times New Roman" w:hAnsi="Times New Roman" w:eastAsia="仿宋_GB2312" w:cs="Times New Roman"/>
          <w:b w:val="0"/>
          <w:bCs w:val="0"/>
          <w:color w:val="000000"/>
          <w:sz w:val="32"/>
          <w:szCs w:val="32"/>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年初预算为0万元，支出决算为13.71万元，超出年初预算的100%。决算数大于年初预算数的主要原因是：新增选调生到村任职补助资金。</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Style w:val="15"/>
          <w:rFonts w:hint="default" w:ascii="Times New Roman" w:hAnsi="Times New Roman" w:eastAsia="仿宋_GB2312" w:cs="Times New Roman"/>
          <w:b w:val="0"/>
          <w:bCs w:val="0"/>
          <w:color w:val="000000"/>
          <w:sz w:val="32"/>
          <w:szCs w:val="32"/>
        </w:rPr>
        <w:t>4、农林水支出（类）扶贫（款）其他扶贫支出（项）</w:t>
      </w:r>
      <w:r>
        <w:rPr>
          <w:rFonts w:hint="default" w:ascii="Times New Roman" w:hAnsi="Times New Roman" w:eastAsia="仿宋_GB2312" w:cs="Times New Roman"/>
          <w:b w:val="0"/>
          <w:bCs w:val="0"/>
          <w:color w:val="000000"/>
          <w:sz w:val="32"/>
          <w:szCs w:val="32"/>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年初预算为0万元，支出决算为44.76万元，超出年初预算的100%。决算数大于年初预算数的主要原因是：新增驻村帮扶工作经费、第一书记工作经费、县级领导联点经费。</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Style w:val="15"/>
          <w:rFonts w:hint="default" w:ascii="Times New Roman" w:hAnsi="Times New Roman" w:eastAsia="仿宋_GB2312" w:cs="Times New Roman"/>
          <w:b w:val="0"/>
          <w:bCs w:val="0"/>
          <w:color w:val="000000"/>
          <w:sz w:val="32"/>
          <w:szCs w:val="32"/>
        </w:rPr>
        <w:t>5、农林水支出（类）农村综合改革（款）对村民委员会和村党支部的补助（项）</w:t>
      </w:r>
      <w:r>
        <w:rPr>
          <w:rFonts w:hint="default" w:ascii="Times New Roman" w:hAnsi="Times New Roman" w:eastAsia="仿宋_GB2312" w:cs="Times New Roman"/>
          <w:b w:val="0"/>
          <w:bCs w:val="0"/>
          <w:color w:val="000000"/>
          <w:sz w:val="32"/>
          <w:szCs w:val="32"/>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年初预算为0万元，支出决算为300万元，超出年初预算的100%。决算数大于年初预算数的主要原因是：新增职能，追加基层公共服务（一门式）全覆盖工作启动资金。</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六、一般公共预算财政拨款基本支出决算情况说明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42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 2020年度财政拨款基本支出910.96万元，其中：人员经费553.6万元，占基本支出的60.77%，主要包括：基本工资、津贴补贴、奖金、伙食补助费、机关事业单位基本养老保险缴费、职工基本医疗保险缴费、其他社会保障缴费、住房公积金、其他工资福利支出、离休费、抚恤金、生活补助、奖励金、其他对个人和家庭的补助。公用经费357.36万元，占基本支出的39.23%，主要包括：办公设备购置、办公费、印刷费、电费、邮电费、差旅费、维修（护）费、租赁费、会议费、培训费、公务接待费、劳务费、工会经费、其他交通费用、其他商品和服务支出。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七、一般公共预算财政拨款三公经费支出决算情况说明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z w:val="32"/>
          <w:szCs w:val="32"/>
        </w:rPr>
        <w:t xml:space="preserve">（一）“三公”经费财政拨款支出决算总体情况说明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2020年度“三公”经费财政拨款支出预算为</w:t>
      </w:r>
      <w:r>
        <w:rPr>
          <w:rFonts w:hint="default" w:ascii="Times New Roman" w:hAnsi="Times New Roman" w:eastAsia="仿宋_GB2312" w:cs="Times New Roman"/>
          <w:b w:val="0"/>
          <w:bCs w:val="0"/>
          <w:color w:val="000000"/>
          <w:sz w:val="32"/>
          <w:szCs w:val="32"/>
          <w:lang w:val="en-US" w:eastAsia="zh-CN"/>
        </w:rPr>
        <w:t>5.78</w:t>
      </w:r>
      <w:r>
        <w:rPr>
          <w:rFonts w:hint="default" w:ascii="Times New Roman" w:hAnsi="Times New Roman" w:eastAsia="仿宋_GB2312" w:cs="Times New Roman"/>
          <w:b w:val="0"/>
          <w:bCs w:val="0"/>
          <w:color w:val="000000"/>
          <w:sz w:val="32"/>
          <w:szCs w:val="32"/>
        </w:rPr>
        <w:t>万元，支出决算为2.01万元，完成预算的</w:t>
      </w:r>
      <w:r>
        <w:rPr>
          <w:rFonts w:hint="default" w:ascii="Times New Roman" w:hAnsi="Times New Roman" w:eastAsia="仿宋_GB2312" w:cs="Times New Roman"/>
          <w:b w:val="0"/>
          <w:bCs w:val="0"/>
          <w:color w:val="000000"/>
          <w:sz w:val="32"/>
          <w:szCs w:val="32"/>
          <w:lang w:eastAsia="zh-CN"/>
        </w:rPr>
        <w:t>34.78</w:t>
      </w:r>
      <w:r>
        <w:rPr>
          <w:rFonts w:hint="default" w:ascii="Times New Roman" w:hAnsi="Times New Roman" w:eastAsia="仿宋_GB2312" w:cs="Times New Roman"/>
          <w:b w:val="0"/>
          <w:bCs w:val="0"/>
          <w:color w:val="000000"/>
          <w:sz w:val="32"/>
          <w:szCs w:val="32"/>
        </w:rPr>
        <w:t xml:space="preserve">%，其中：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因公出国（境）费支出预算为0万元，支出决算为0万元，决算数与预算数一致，我单位严格按预算执行决算，因公出国（境）费支出与上年持平。</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公务接待费支出预算为</w:t>
      </w:r>
      <w:r>
        <w:rPr>
          <w:rFonts w:hint="default" w:ascii="Times New Roman" w:hAnsi="Times New Roman" w:eastAsia="仿宋_GB2312" w:cs="Times New Roman"/>
          <w:b w:val="0"/>
          <w:bCs w:val="0"/>
          <w:color w:val="000000"/>
          <w:sz w:val="32"/>
          <w:szCs w:val="32"/>
          <w:lang w:val="en-US" w:eastAsia="zh-CN"/>
        </w:rPr>
        <w:t>5.78</w:t>
      </w:r>
      <w:r>
        <w:rPr>
          <w:rFonts w:hint="default" w:ascii="Times New Roman" w:hAnsi="Times New Roman" w:eastAsia="仿宋_GB2312" w:cs="Times New Roman"/>
          <w:b w:val="0"/>
          <w:bCs w:val="0"/>
          <w:color w:val="000000"/>
          <w:sz w:val="32"/>
          <w:szCs w:val="32"/>
        </w:rPr>
        <w:t>万元，支出决算为2.01万元，完成预算的</w:t>
      </w:r>
      <w:r>
        <w:rPr>
          <w:rFonts w:hint="default" w:ascii="Times New Roman" w:hAnsi="Times New Roman" w:eastAsia="仿宋_GB2312" w:cs="Times New Roman"/>
          <w:b w:val="0"/>
          <w:bCs w:val="0"/>
          <w:color w:val="000000"/>
          <w:sz w:val="32"/>
          <w:szCs w:val="32"/>
          <w:lang w:eastAsia="zh-CN"/>
        </w:rPr>
        <w:t>34.78</w:t>
      </w:r>
      <w:r>
        <w:rPr>
          <w:rFonts w:hint="default" w:ascii="Times New Roman" w:hAnsi="Times New Roman" w:eastAsia="仿宋_GB2312" w:cs="Times New Roman"/>
          <w:b w:val="0"/>
          <w:bCs w:val="0"/>
          <w:color w:val="000000"/>
          <w:sz w:val="32"/>
          <w:szCs w:val="32"/>
        </w:rPr>
        <w:t>%，我单位严格按预算执行决算，与上年相比减少0.01万元，下降0.5%，下降的主要原因是严格控制了公务接待费用。</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公务用车购置费及运行维护费支出预算为0万元，支出决算为0万元，决算数与预算数一致，我单位严格按预算执行决算，与上年相比减少3.08万元，下降100%，下降的主要原因是公车划拨至公车平台，由公车平台统一管理。</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z w:val="32"/>
          <w:szCs w:val="32"/>
        </w:rPr>
        <w:t xml:space="preserve">（二）“三公”经费财政拨款支出决算具体情况说明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2020年度“三公”经费财政拨款支出决算中，公务接待费支出决算2.01万元，占100%，因公出国（境）费支出决算0万元，占0%，公务用车购置费及运行维护费支出决算0万元，占0%。其中：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1、因公出国（境）费支出决算为0万元，全年安排因公出国（境）团组0个，累计0人次，我单位2020年度无因公出国（境）费支出。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2、公务接待费支出决算为2.01万元，全年共接待来访团组30个、来宾290人次，主要是接待上级检查调研工作和其他单位考察等发生的接待支出。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3、公务用车购置费及运行维护费支出决算为0万元，其中：公务用车购置费0万元。公务用车运行维护费0万元，截至2020年12月31日，我单位开支财政拨款的公务用车保有量为0辆。我单位2020年度无公务用车购置费及运行维护费支出。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八、政府性基金预算收入支出决算情况</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中共桃江县委组织部2020年度没有政府性基金收入，也没有使用政府性基金安排的支出，并已公开空表。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九、关于机关运行经费支出说明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中共桃江县委组织部2020年度机关运行经费支出357.36万元，比年初预算数增加273.46万元，增长325.94%。主要原因是：人员增加，办公经费增加。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十、一般性支出情况</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2020年度中共桃江县委组织部一般性支出744.34万元</w:t>
      </w:r>
      <w:r>
        <w:rPr>
          <w:rFonts w:hint="eastAsia" w:ascii="Times New Roman" w:hAnsi="Times New Roman" w:eastAsia="仿宋_GB2312" w:cs="Times New Roman"/>
          <w:b w:val="0"/>
          <w:bCs w:val="0"/>
          <w:color w:val="000000"/>
          <w:sz w:val="32"/>
          <w:szCs w:val="32"/>
          <w:lang w:eastAsia="zh-CN"/>
        </w:rPr>
        <w:t>（基本支出</w:t>
      </w:r>
      <w:r>
        <w:rPr>
          <w:rFonts w:hint="eastAsia" w:ascii="Times New Roman" w:hAnsi="Times New Roman" w:eastAsia="仿宋_GB2312" w:cs="Times New Roman"/>
          <w:b w:val="0"/>
          <w:bCs w:val="0"/>
          <w:color w:val="000000"/>
          <w:sz w:val="32"/>
          <w:szCs w:val="32"/>
          <w:lang w:val="en-US" w:eastAsia="zh-CN"/>
        </w:rPr>
        <w:t>328.61万元，项目支出415.73万元</w:t>
      </w:r>
      <w:bookmarkStart w:id="0" w:name="_GoBack"/>
      <w:bookmarkEnd w:id="0"/>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 xml:space="preserve">，其中：会议费33.95万元，用于召开党建工作会议、全县领导干部会议、全县老干部工作会议等，会议人数上千人，内容主要是党建、驻村帮扶、干部、老干等工作会议；开支培训费149.74万元，用于开展驻村帮扶培训班，村（社区）党组织书记培训班等培训10余次，人数上千人，内容主要是驻村帮扶、党建等业务培训；未举办节庆、晚会、论坛、赛事活动；办公费82.97万元；印刷费69.97万元；咨询费0万元；水费0万元；电费6.26万元；邮电费2.3万元；取暖费0万元；物业管理费0万元；差旅费25.57万元；因公出国（境）费用0万元；维修（护）费250万元；租赁费1.5万元；公务接待费2.01万元；被装购置费0万元；劳务费16.38万元；委托业务费43万元；公务用车运行维护费0万元；其他交通费用31.69万元；房屋建筑物购建0万元；办公设备购置29万元；公务用车购置0万元；其他交通工具购置0万元。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十一、关于政府采购支出说明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中共桃江县委组织部2020年度政府采购支出总额60.65万元，其中：政府采购货物支出60.65万元、政府采购工程支出0万元、政府采购服务支出0万元。授予中小企业合同金额</w:t>
      </w:r>
      <w:r>
        <w:rPr>
          <w:rFonts w:hint="default" w:ascii="Times New Roman" w:hAnsi="Times New Roman" w:eastAsia="仿宋_GB2312" w:cs="Times New Roman"/>
          <w:b w:val="0"/>
          <w:bCs w:val="0"/>
          <w:color w:val="000000"/>
          <w:sz w:val="32"/>
          <w:szCs w:val="32"/>
          <w:lang w:val="en-US" w:eastAsia="zh-CN"/>
        </w:rPr>
        <w:t>60.65</w:t>
      </w:r>
      <w:r>
        <w:rPr>
          <w:rFonts w:hint="default" w:ascii="Times New Roman" w:hAnsi="Times New Roman" w:eastAsia="仿宋_GB2312" w:cs="Times New Roman"/>
          <w:b w:val="0"/>
          <w:bCs w:val="0"/>
          <w:color w:val="000000"/>
          <w:sz w:val="32"/>
          <w:szCs w:val="32"/>
        </w:rPr>
        <w:t>万元，占政府采购支出总额的</w:t>
      </w:r>
      <w:r>
        <w:rPr>
          <w:rFonts w:hint="default" w:ascii="Times New Roman" w:hAnsi="Times New Roman" w:eastAsia="仿宋_GB2312" w:cs="Times New Roman"/>
          <w:b w:val="0"/>
          <w:bCs w:val="0"/>
          <w:color w:val="000000"/>
          <w:sz w:val="32"/>
          <w:szCs w:val="32"/>
          <w:lang w:val="en-US" w:eastAsia="zh-CN"/>
        </w:rPr>
        <w:t>100</w:t>
      </w:r>
      <w:r>
        <w:rPr>
          <w:rFonts w:hint="default" w:ascii="Times New Roman" w:hAnsi="Times New Roman" w:eastAsia="仿宋_GB2312" w:cs="Times New Roman"/>
          <w:b w:val="0"/>
          <w:bCs w:val="0"/>
          <w:color w:val="000000"/>
          <w:sz w:val="32"/>
          <w:szCs w:val="32"/>
        </w:rPr>
        <w:t>%，其中：授予小微企业合同金额</w:t>
      </w:r>
      <w:r>
        <w:rPr>
          <w:rFonts w:hint="default" w:ascii="Times New Roman" w:hAnsi="Times New Roman" w:eastAsia="仿宋_GB2312" w:cs="Times New Roman"/>
          <w:b w:val="0"/>
          <w:bCs w:val="0"/>
          <w:color w:val="000000"/>
          <w:sz w:val="32"/>
          <w:szCs w:val="32"/>
          <w:lang w:val="en-US" w:eastAsia="zh-CN"/>
        </w:rPr>
        <w:t>60.65</w:t>
      </w:r>
      <w:r>
        <w:rPr>
          <w:rFonts w:hint="default" w:ascii="Times New Roman" w:hAnsi="Times New Roman" w:eastAsia="仿宋_GB2312" w:cs="Times New Roman"/>
          <w:b w:val="0"/>
          <w:bCs w:val="0"/>
          <w:color w:val="000000"/>
          <w:sz w:val="32"/>
          <w:szCs w:val="32"/>
        </w:rPr>
        <w:t>万元，占政府采购支出总额的</w:t>
      </w:r>
      <w:r>
        <w:rPr>
          <w:rFonts w:hint="default"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 xml:space="preserve">0%。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十二、关于国有资产占用情况说明</w:t>
      </w:r>
      <w:r>
        <w:rPr>
          <w:rFonts w:hint="default" w:ascii="Times New Roman" w:hAnsi="Times New Roman" w:eastAsia="黑体" w:cs="Times New Roman"/>
          <w:b w:val="0"/>
          <w:bCs w:val="0"/>
          <w:color w:val="000000"/>
          <w:sz w:val="27"/>
          <w:szCs w:val="27"/>
        </w:rPr>
        <w:t xml:space="preserve">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 xml:space="preserve">截至2020年12月31日，中共桃江县委组织部共有车辆0辆（台），其中：副部（省）级及以上领导用车0辆、主要领导干部用车0辆、机要通信用车0辆、应急保障用车0辆、执法执勤用车0辆、特种专业技术用车0辆、其他用车0辆；单价50万元（含）以上通用设备0台（套），单价100万元（含）以上专用设备0台（套）。 </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1"/>
        <w:textAlignment w:val="auto"/>
        <w:rPr>
          <w:rFonts w:hint="default" w:ascii="Times New Roman" w:hAnsi="Times New Roman" w:eastAsia="黑体" w:cs="Times New Roman"/>
          <w:b w:val="0"/>
          <w:bCs w:val="0"/>
          <w:sz w:val="27"/>
          <w:szCs w:val="27"/>
        </w:rPr>
      </w:pPr>
      <w:r>
        <w:rPr>
          <w:rFonts w:hint="default" w:ascii="Times New Roman" w:hAnsi="Times New Roman" w:eastAsia="黑体" w:cs="Times New Roman"/>
          <w:b w:val="0"/>
          <w:bCs w:val="0"/>
          <w:color w:val="000000"/>
          <w:sz w:val="32"/>
          <w:szCs w:val="32"/>
        </w:rPr>
        <w:t>十三、关于2020年度预算绩效情况说明</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jc w:val="left"/>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2020年，本部门按要求在规定的时间报送绩效目标申报，对机关整体支出设定绩效目标评价，对大额支出项目党组织基层建设进行绩效目标管理。</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jc w:val="left"/>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本部门以绩效目标实现为导向，进一步加强制度建设，提升自评质量，预算绩效管理取得了好的成效。一是抓好绩效目标编制，及时报送绩效目标。二是探索绩效跟踪监控。三是深入开展支出绩效评价，对专项资金实施绩效自评和项目核查，四是强化评价结果应用，组织绩效自评和绩效跟踪监控，对发现的问题用时改进。五是健全绩效管理工作机制，明确职责分工，努力提高绩效管理工作水平。</w:t>
      </w:r>
    </w:p>
    <w:p>
      <w:pPr>
        <w:pStyle w:val="17"/>
        <w:keepNext w:val="0"/>
        <w:keepLines w:val="0"/>
        <w:pageBreakBefore w:val="0"/>
        <w:kinsoku/>
        <w:wordWrap/>
        <w:overflowPunct/>
        <w:topLinePunct w:val="0"/>
        <w:autoSpaceDE/>
        <w:autoSpaceDN/>
        <w:bidi w:val="0"/>
        <w:adjustRightInd/>
        <w:snapToGrid/>
        <w:spacing w:before="0" w:beforeAutospacing="0" w:after="0" w:afterAutospacing="0" w:line="594" w:lineRule="exact"/>
        <w:ind w:left="0" w:firstLine="640"/>
        <w:jc w:val="left"/>
        <w:textAlignment w:val="auto"/>
        <w:rPr>
          <w:rFonts w:hint="default" w:ascii="Times New Roman" w:hAnsi="Times New Roman" w:eastAsia="仿宋_GB2312" w:cs="Times New Roman"/>
          <w:b w:val="0"/>
          <w:bCs w:val="0"/>
          <w:color w:val="000000"/>
          <w:sz w:val="32"/>
          <w:szCs w:val="32"/>
        </w:rPr>
        <w:sectPr>
          <w:pgSz w:w="11906" w:h="16838" w:orient="landscape"/>
          <w:pgMar w:top="1814" w:right="1361" w:bottom="1587" w:left="1644" w:header="851" w:footer="992" w:gutter="0"/>
          <w:cols w:space="0" w:num="1"/>
          <w:docGrid w:type="lines" w:linePitch="160" w:charSpace="0"/>
        </w:sect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2020年度本部门项目绩效自评为优秀。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简体" w:hAnsi="方正小标宋简体" w:eastAsia="方正小标宋简体" w:cs="方正小标宋简体"/>
          <w:b w:val="0"/>
          <w:bCs w:val="0"/>
          <w:color w:val="000000"/>
          <w:sz w:val="21"/>
          <w:szCs w:val="21"/>
        </w:rPr>
      </w:pPr>
      <w:r>
        <w:rPr>
          <w:rFonts w:hint="eastAsia" w:ascii="方正小标宋简体" w:hAnsi="方正小标宋简体" w:eastAsia="方正小标宋简体" w:cs="方正小标宋简体"/>
          <w:b w:val="0"/>
          <w:bCs w:val="0"/>
          <w:color w:val="000000"/>
          <w:sz w:val="36"/>
          <w:szCs w:val="36"/>
        </w:rPr>
        <w:t>第四部分 名词解释</w:t>
      </w:r>
      <w:r>
        <w:rPr>
          <w:rFonts w:hint="eastAsia" w:ascii="方正小标宋简体" w:hAnsi="方正小标宋简体" w:eastAsia="方正小标宋简体" w:cs="方正小标宋简体"/>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简体" w:hAnsi="方正小标宋简体" w:eastAsia="方正小标宋简体" w:cs="方正小标宋简体"/>
          <w:b w:val="0"/>
          <w:bCs w:val="0"/>
          <w:color w:val="000000"/>
          <w:sz w:val="21"/>
          <w:szCs w:val="21"/>
        </w:rPr>
      </w:pP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cs="Times New Roman"/>
          <w:b w:val="0"/>
          <w:bCs w:val="0"/>
          <w:sz w:val="21"/>
          <w:szCs w:val="21"/>
        </w:rPr>
      </w:pPr>
      <w:r>
        <w:rPr>
          <w:rFonts w:hint="default" w:ascii="Times New Roman" w:hAnsi="Times New Roman" w:eastAsia="黑体" w:cs="Times New Roman"/>
          <w:b w:val="0"/>
          <w:bCs w:val="0"/>
          <w:color w:val="000000"/>
          <w:sz w:val="32"/>
          <w:szCs w:val="32"/>
        </w:rPr>
        <w:t>财政拨款收入：</w:t>
      </w:r>
      <w:r>
        <w:rPr>
          <w:rFonts w:hint="default" w:ascii="Times New Roman" w:hAnsi="Times New Roman" w:eastAsia="仿宋_GB2312" w:cs="Times New Roman"/>
          <w:b w:val="0"/>
          <w:bCs w:val="0"/>
          <w:color w:val="000000"/>
          <w:sz w:val="32"/>
          <w:szCs w:val="32"/>
        </w:rPr>
        <w:t>指财政当年拨付的资金。包括一般公共预算财政拨款和政府性基金财政拨款。</w:t>
      </w:r>
      <w:r>
        <w:rPr>
          <w:rFonts w:hint="default" w:ascii="Times New Roman" w:hAnsi="Times New Roman" w:cs="Times New Roman"/>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000000"/>
          <w:sz w:val="32"/>
          <w:szCs w:val="32"/>
        </w:rPr>
        <w:t>上级补助收入：</w:t>
      </w:r>
      <w:r>
        <w:rPr>
          <w:rFonts w:hint="default" w:ascii="Times New Roman" w:hAnsi="Times New Roman" w:eastAsia="仿宋_GB2312" w:cs="Times New Roman"/>
          <w:b w:val="0"/>
          <w:bCs w:val="0"/>
          <w:color w:val="000000"/>
          <w:sz w:val="32"/>
          <w:szCs w:val="32"/>
        </w:rPr>
        <w:t xml:space="preserve">指事业单位从主管部门和上级单位取得的非财政补助收入。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000000"/>
          <w:sz w:val="32"/>
          <w:szCs w:val="32"/>
        </w:rPr>
        <w:t>事业收入：</w:t>
      </w:r>
      <w:r>
        <w:rPr>
          <w:rFonts w:hint="default" w:ascii="Times New Roman" w:hAnsi="Times New Roman" w:eastAsia="仿宋_GB2312" w:cs="Times New Roman"/>
          <w:b w:val="0"/>
          <w:bCs w:val="0"/>
          <w:color w:val="000000"/>
          <w:sz w:val="32"/>
          <w:szCs w:val="32"/>
        </w:rPr>
        <w:t xml:space="preserve">指事业单位开展专业业务活动及辅助活动所取得的收入。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cs="Times New Roman"/>
          <w:b w:val="0"/>
          <w:bCs w:val="0"/>
          <w:sz w:val="21"/>
          <w:szCs w:val="21"/>
        </w:rPr>
      </w:pPr>
      <w:r>
        <w:rPr>
          <w:rFonts w:hint="default" w:ascii="Times New Roman" w:hAnsi="Times New Roman" w:eastAsia="黑体" w:cs="Times New Roman"/>
          <w:b w:val="0"/>
          <w:bCs w:val="0"/>
          <w:color w:val="000000"/>
          <w:sz w:val="32"/>
          <w:szCs w:val="32"/>
        </w:rPr>
        <w:t>经营收入：</w:t>
      </w:r>
      <w:r>
        <w:rPr>
          <w:rFonts w:hint="default" w:ascii="Times New Roman" w:hAnsi="Times New Roman" w:eastAsia="仿宋_GB2312" w:cs="Times New Roman"/>
          <w:b w:val="0"/>
          <w:bCs w:val="0"/>
          <w:color w:val="000000"/>
          <w:sz w:val="32"/>
          <w:szCs w:val="32"/>
        </w:rPr>
        <w:t>指事业单位在专业业务活动及其辅助活动之外开展非独立核算经营活动取得的收入。</w:t>
      </w:r>
      <w:r>
        <w:rPr>
          <w:rFonts w:hint="default" w:ascii="Times New Roman" w:hAnsi="Times New Roman" w:cs="Times New Roman"/>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000000"/>
          <w:sz w:val="32"/>
          <w:szCs w:val="32"/>
        </w:rPr>
        <w:t>附属单位上缴收入：</w:t>
      </w:r>
      <w:r>
        <w:rPr>
          <w:rFonts w:hint="default" w:ascii="Times New Roman" w:hAnsi="Times New Roman" w:eastAsia="仿宋_GB2312" w:cs="Times New Roman"/>
          <w:b w:val="0"/>
          <w:bCs w:val="0"/>
          <w:color w:val="000000"/>
          <w:sz w:val="32"/>
          <w:szCs w:val="32"/>
        </w:rPr>
        <w:t xml:space="preserve">指事业单位附属独立核算单位按照有关规定上缴的收入。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cs="Times New Roman"/>
          <w:b w:val="0"/>
          <w:bCs w:val="0"/>
          <w:sz w:val="21"/>
          <w:szCs w:val="21"/>
        </w:rPr>
      </w:pPr>
      <w:r>
        <w:rPr>
          <w:rFonts w:hint="default" w:ascii="Times New Roman" w:hAnsi="Times New Roman" w:eastAsia="黑体" w:cs="Times New Roman"/>
          <w:b w:val="0"/>
          <w:bCs w:val="0"/>
          <w:color w:val="000000"/>
          <w:sz w:val="32"/>
          <w:szCs w:val="32"/>
        </w:rPr>
        <w:t>其他收入：</w:t>
      </w:r>
      <w:r>
        <w:rPr>
          <w:rFonts w:hint="default" w:ascii="Times New Roman" w:hAnsi="Times New Roman" w:eastAsia="仿宋_GB2312" w:cs="Times New Roman"/>
          <w:b w:val="0"/>
          <w:bCs w:val="0"/>
          <w:color w:val="000000"/>
          <w:sz w:val="32"/>
          <w:szCs w:val="32"/>
        </w:rPr>
        <w:t>指除上述“财政拨款收入”、“事业收入”、“经营收入”等以外的收入。</w:t>
      </w:r>
      <w:r>
        <w:rPr>
          <w:rFonts w:hint="default" w:ascii="Times New Roman" w:hAnsi="Times New Roman" w:cs="Times New Roman"/>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000000"/>
          <w:sz w:val="32"/>
          <w:szCs w:val="32"/>
        </w:rPr>
        <w:t>用事业基金弥补收支差额：</w:t>
      </w:r>
      <w:r>
        <w:rPr>
          <w:rFonts w:hint="default" w:ascii="Times New Roman" w:hAnsi="Times New Roman" w:eastAsia="仿宋_GB2312" w:cs="Times New Roman"/>
          <w:b w:val="0"/>
          <w:bCs w:val="0"/>
          <w:color w:val="000000"/>
          <w:sz w:val="32"/>
          <w:szCs w:val="32"/>
        </w:rPr>
        <w:t xml:space="preserve">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000000"/>
          <w:sz w:val="32"/>
          <w:szCs w:val="32"/>
        </w:rPr>
        <w:t>年初结转和结余：</w:t>
      </w:r>
      <w:r>
        <w:rPr>
          <w:rFonts w:hint="default" w:ascii="Times New Roman" w:hAnsi="Times New Roman" w:eastAsia="仿宋_GB2312" w:cs="Times New Roman"/>
          <w:b w:val="0"/>
          <w:bCs w:val="0"/>
          <w:color w:val="000000"/>
          <w:sz w:val="32"/>
          <w:szCs w:val="32"/>
        </w:rPr>
        <w:t xml:space="preserve">指以前年度尚未完成、结转到本年按有关规定继续使用的资金。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cs="Times New Roman"/>
          <w:b w:val="0"/>
          <w:bCs w:val="0"/>
          <w:sz w:val="21"/>
          <w:szCs w:val="21"/>
        </w:rPr>
      </w:pPr>
      <w:r>
        <w:rPr>
          <w:rFonts w:hint="default" w:ascii="Times New Roman" w:hAnsi="Times New Roman" w:eastAsia="黑体" w:cs="Times New Roman"/>
          <w:b w:val="0"/>
          <w:bCs w:val="0"/>
          <w:color w:val="000000"/>
          <w:sz w:val="32"/>
          <w:szCs w:val="32"/>
        </w:rPr>
        <w:t>结余分配：</w:t>
      </w:r>
      <w:r>
        <w:rPr>
          <w:rFonts w:hint="default" w:ascii="Times New Roman" w:hAnsi="Times New Roman" w:eastAsia="仿宋_GB2312" w:cs="Times New Roman"/>
          <w:b w:val="0"/>
          <w:bCs w:val="0"/>
          <w:color w:val="000000"/>
          <w:sz w:val="32"/>
          <w:szCs w:val="32"/>
        </w:rPr>
        <w:t>指事业事位按规定从非财政补助结余中分配的事业基金和职工福利基金等。</w:t>
      </w:r>
      <w:r>
        <w:rPr>
          <w:rFonts w:hint="default" w:ascii="Times New Roman" w:hAnsi="Times New Roman" w:cs="Times New Roman"/>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000000"/>
          <w:sz w:val="32"/>
          <w:szCs w:val="32"/>
        </w:rPr>
        <w:t>年末结转和结余：</w:t>
      </w:r>
      <w:r>
        <w:rPr>
          <w:rFonts w:hint="default" w:ascii="Times New Roman" w:hAnsi="Times New Roman" w:eastAsia="仿宋_GB2312" w:cs="Times New Roman"/>
          <w:b w:val="0"/>
          <w:bCs w:val="0"/>
          <w:color w:val="000000"/>
          <w:sz w:val="32"/>
          <w:szCs w:val="32"/>
        </w:rPr>
        <w:t xml:space="preserve">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000000"/>
          <w:sz w:val="32"/>
          <w:szCs w:val="32"/>
        </w:rPr>
        <w:t>基本支出：</w:t>
      </w:r>
      <w:r>
        <w:rPr>
          <w:rFonts w:hint="default" w:ascii="Times New Roman" w:hAnsi="Times New Roman" w:eastAsia="仿宋_GB2312" w:cs="Times New Roman"/>
          <w:b w:val="0"/>
          <w:bCs w:val="0"/>
          <w:color w:val="000000"/>
          <w:sz w:val="32"/>
          <w:szCs w:val="32"/>
        </w:rPr>
        <w:t xml:space="preserve">指为保障机构正常运转、完成日常工作任务而发生的人员支出和公用支出。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cs="Times New Roman"/>
          <w:b w:val="0"/>
          <w:bCs w:val="0"/>
          <w:sz w:val="21"/>
          <w:szCs w:val="21"/>
        </w:rPr>
      </w:pPr>
      <w:r>
        <w:rPr>
          <w:rFonts w:hint="default" w:ascii="Times New Roman" w:hAnsi="Times New Roman" w:eastAsia="黑体" w:cs="Times New Roman"/>
          <w:b w:val="0"/>
          <w:bCs w:val="0"/>
          <w:color w:val="000000"/>
          <w:sz w:val="32"/>
          <w:szCs w:val="32"/>
        </w:rPr>
        <w:t>项目支出：</w:t>
      </w:r>
      <w:r>
        <w:rPr>
          <w:rFonts w:hint="default" w:ascii="Times New Roman" w:hAnsi="Times New Roman" w:eastAsia="仿宋_GB2312" w:cs="Times New Roman"/>
          <w:b w:val="0"/>
          <w:bCs w:val="0"/>
          <w:color w:val="000000"/>
          <w:sz w:val="32"/>
          <w:szCs w:val="32"/>
        </w:rPr>
        <w:t>指在基本支出之外为完成特定行政任务和事业发展目标所发生的支出。</w:t>
      </w:r>
      <w:r>
        <w:rPr>
          <w:rFonts w:hint="default" w:ascii="Times New Roman" w:hAnsi="Times New Roman" w:cs="Times New Roman"/>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cs="Times New Roman"/>
          <w:b w:val="0"/>
          <w:bCs w:val="0"/>
          <w:sz w:val="21"/>
          <w:szCs w:val="21"/>
        </w:rPr>
      </w:pPr>
      <w:r>
        <w:rPr>
          <w:rFonts w:hint="default" w:ascii="Times New Roman" w:hAnsi="Times New Roman" w:eastAsia="黑体" w:cs="Times New Roman"/>
          <w:b w:val="0"/>
          <w:bCs w:val="0"/>
          <w:color w:val="000000"/>
          <w:sz w:val="32"/>
          <w:szCs w:val="32"/>
        </w:rPr>
        <w:t>经营支出：</w:t>
      </w:r>
      <w:r>
        <w:rPr>
          <w:rFonts w:hint="default" w:ascii="Times New Roman" w:hAnsi="Times New Roman" w:eastAsia="仿宋_GB2312" w:cs="Times New Roman"/>
          <w:b w:val="0"/>
          <w:bCs w:val="0"/>
          <w:color w:val="000000"/>
          <w:sz w:val="32"/>
          <w:szCs w:val="32"/>
        </w:rPr>
        <w:t>指事业单位在专业业务活动及其辅助活动之外开展非独立核算经营活动所发生的支出。</w:t>
      </w:r>
      <w:r>
        <w:rPr>
          <w:rFonts w:hint="default" w:ascii="Times New Roman" w:hAnsi="Times New Roman" w:cs="Times New Roman"/>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000000"/>
          <w:sz w:val="32"/>
          <w:szCs w:val="32"/>
        </w:rPr>
        <w:t>“三公”经费：</w:t>
      </w:r>
      <w:r>
        <w:rPr>
          <w:rFonts w:hint="default" w:ascii="Times New Roman" w:hAnsi="Times New Roman" w:eastAsia="仿宋_GB2312" w:cs="Times New Roman"/>
          <w:b w:val="0"/>
          <w:bCs w:val="0"/>
          <w:color w:val="000000"/>
          <w:sz w:val="32"/>
          <w:szCs w:val="32"/>
        </w:rPr>
        <w:t xml:space="preserve">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ind w:left="0" w:right="0" w:firstLine="643"/>
        <w:textAlignment w:val="auto"/>
        <w:rPr>
          <w:rFonts w:hint="default" w:ascii="Times New Roman" w:hAnsi="Times New Roman" w:eastAsia="仿宋_GB2312" w:cs="Times New Roman"/>
          <w:b w:val="0"/>
          <w:bCs w:val="0"/>
          <w:color w:val="000000"/>
          <w:sz w:val="32"/>
          <w:szCs w:val="32"/>
        </w:rPr>
        <w:sectPr>
          <w:pgSz w:w="11906" w:h="16838" w:orient="landscape"/>
          <w:pgMar w:top="1814" w:right="1361" w:bottom="1587" w:left="1644" w:header="851" w:footer="992" w:gutter="0"/>
          <w:cols w:space="0" w:num="1"/>
          <w:docGrid w:type="lines" w:linePitch="160" w:charSpace="0"/>
        </w:sectPr>
      </w:pPr>
      <w:r>
        <w:rPr>
          <w:rFonts w:hint="default" w:ascii="Times New Roman" w:hAnsi="Times New Roman" w:eastAsia="黑体" w:cs="Times New Roman"/>
          <w:b w:val="0"/>
          <w:bCs w:val="0"/>
          <w:color w:val="000000"/>
          <w:sz w:val="32"/>
          <w:szCs w:val="32"/>
        </w:rPr>
        <w:t>机关运行经费：</w:t>
      </w:r>
      <w:r>
        <w:rPr>
          <w:rFonts w:hint="default" w:ascii="Times New Roman" w:hAnsi="Times New Roman" w:eastAsia="仿宋_GB2312" w:cs="Times New Roman"/>
          <w:b w:val="0"/>
          <w:bCs w:val="0"/>
          <w:color w:val="000000"/>
          <w:sz w:val="32"/>
          <w:szCs w:val="32"/>
        </w:rPr>
        <w:t xml:space="preserve">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简体" w:hAnsi="方正小标宋简体" w:eastAsia="方正小标宋简体" w:cs="方正小标宋简体"/>
          <w:b w:val="0"/>
          <w:bCs w:val="0"/>
          <w:sz w:val="21"/>
          <w:szCs w:val="21"/>
        </w:rPr>
      </w:pPr>
      <w:r>
        <w:rPr>
          <w:rFonts w:hint="eastAsia" w:ascii="方正小标宋简体" w:hAnsi="方正小标宋简体" w:eastAsia="方正小标宋简体" w:cs="方正小标宋简体"/>
          <w:b w:val="0"/>
          <w:bCs w:val="0"/>
          <w:color w:val="000000"/>
          <w:sz w:val="36"/>
          <w:szCs w:val="36"/>
        </w:rPr>
        <w:t>第五部分 附件</w:t>
      </w:r>
      <w:r>
        <w:rPr>
          <w:rFonts w:hint="eastAsia" w:ascii="方正小标宋简体" w:hAnsi="方正小标宋简体" w:eastAsia="方正小标宋简体" w:cs="方正小标宋简体"/>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shd w:val="clear" w:fill="FFFFFF"/>
        </w:rPr>
        <w:t>中共桃江县委组织部2020年度部门整体支出绩效报告</w:t>
      </w:r>
    </w:p>
    <w:p>
      <w:pPr>
        <w:keepNext w:val="0"/>
        <w:keepLines w:val="0"/>
        <w:pageBreakBefore w:val="0"/>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仿宋_GB2312" w:hAnsi="仿宋_GB2312" w:eastAsia="仿宋_GB2312" w:cs="仿宋_GB2312"/>
          <w:b w:val="0"/>
          <w:bCs w:val="0"/>
          <w:sz w:val="32"/>
          <w:szCs w:val="32"/>
        </w:rPr>
      </w:pPr>
    </w:p>
    <w:sectPr>
      <w:pgSz w:w="11906" w:h="16838" w:orient="landscape"/>
      <w:pgMar w:top="1814" w:right="1361" w:bottom="1587" w:left="1644"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10</w:t>
    </w:r>
    <w:r>
      <w:rPr>
        <w:lang w:val="zh-CN"/>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GRjNmRiM2RmY2VkYzAzYWQ2YjM4MzFhODBjMmIifQ=="/>
  </w:docVars>
  <w:rsids>
    <w:rsidRoot w:val="00000000"/>
    <w:rsid w:val="0A1A5D13"/>
    <w:rsid w:val="0C4425A9"/>
    <w:rsid w:val="136C6821"/>
    <w:rsid w:val="13E518F3"/>
    <w:rsid w:val="1B203288"/>
    <w:rsid w:val="288B76AF"/>
    <w:rsid w:val="2B9351F9"/>
    <w:rsid w:val="31B47F4C"/>
    <w:rsid w:val="3F293874"/>
    <w:rsid w:val="49E65525"/>
    <w:rsid w:val="4AB03279"/>
    <w:rsid w:val="56382375"/>
    <w:rsid w:val="5FA6544C"/>
    <w:rsid w:val="67FA3A56"/>
    <w:rsid w:val="6E1426D2"/>
    <w:rsid w:val="70E76A1A"/>
    <w:rsid w:val="7563093F"/>
    <w:rsid w:val="781B5927"/>
    <w:rsid w:val="789A3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9829</Words>
  <Characters>12061</Characters>
  <TotalTime>36</TotalTime>
  <ScaleCrop>false</ScaleCrop>
  <LinksUpToDate>false</LinksUpToDate>
  <CharactersWithSpaces>13140</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2021-11-05T08:17:00Z</dcterms:created>
  <dc:creator>Administrator</dc:creator>
  <cp:lastModifiedBy>Administrator</cp:lastModifiedBy>
  <dcterms:modified xsi:type="dcterms:W3CDTF">2022-08-22T10:16:21Z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1040C720E124499385E77DBAFC01078E</vt:lpwstr>
  </property>
</Properties>
</file>