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黑体" w:hAnsi="黑体" w:eastAsia="黑体" w:cs="黑体"/>
          <w:b/>
          <w:bCs/>
          <w:color w:val="000000"/>
          <w:kern w:val="0"/>
          <w:sz w:val="44"/>
          <w:szCs w:val="44"/>
        </w:rPr>
      </w:pPr>
    </w:p>
    <w:p>
      <w:pPr>
        <w:spacing w:line="660" w:lineRule="exact"/>
        <w:jc w:val="center"/>
        <w:rPr>
          <w:rFonts w:hint="eastAsia" w:ascii="黑体" w:hAnsi="黑体" w:eastAsia="黑体" w:cs="黑体"/>
          <w:b/>
          <w:bCs/>
          <w:color w:val="000000"/>
          <w:kern w:val="0"/>
          <w:sz w:val="44"/>
          <w:szCs w:val="44"/>
        </w:rPr>
      </w:pPr>
      <w:r>
        <w:rPr>
          <w:rFonts w:hint="eastAsia" w:ascii="黑体" w:hAnsi="黑体" w:eastAsia="黑体" w:cs="黑体"/>
          <w:b/>
          <w:bCs/>
          <w:color w:val="000000"/>
          <w:kern w:val="0"/>
          <w:sz w:val="44"/>
          <w:szCs w:val="44"/>
        </w:rPr>
        <w:t>桃江县自然资源局2020年度部门整体支出</w:t>
      </w:r>
    </w:p>
    <w:p>
      <w:pPr>
        <w:spacing w:line="660" w:lineRule="exact"/>
        <w:jc w:val="center"/>
        <w:rPr>
          <w:rFonts w:ascii="黑体" w:hAnsi="黑体" w:eastAsia="黑体" w:cs="黑体"/>
          <w:b/>
          <w:bCs/>
          <w:color w:val="000000"/>
          <w:kern w:val="0"/>
          <w:sz w:val="44"/>
          <w:szCs w:val="44"/>
        </w:rPr>
      </w:pPr>
      <w:r>
        <w:rPr>
          <w:rFonts w:hint="eastAsia" w:ascii="黑体" w:hAnsi="黑体" w:eastAsia="黑体" w:cs="黑体"/>
          <w:b/>
          <w:bCs/>
          <w:color w:val="000000"/>
          <w:kern w:val="0"/>
          <w:sz w:val="44"/>
          <w:szCs w:val="44"/>
        </w:rPr>
        <w:t>绩效评价报告</w:t>
      </w:r>
    </w:p>
    <w:p>
      <w:pPr>
        <w:spacing w:line="540" w:lineRule="exact"/>
        <w:rPr>
          <w:rFonts w:ascii="黑体" w:hAnsi="宋体" w:eastAsia="黑体"/>
          <w:b/>
          <w:color w:val="auto"/>
          <w:sz w:val="28"/>
          <w:szCs w:val="28"/>
        </w:rPr>
      </w:pPr>
    </w:p>
    <w:p>
      <w:pPr>
        <w:spacing w:line="440" w:lineRule="exact"/>
        <w:ind w:firstLine="560" w:firstLineChars="200"/>
        <w:rPr>
          <w:rFonts w:hint="eastAsia"/>
          <w:b/>
          <w:color w:val="auto"/>
          <w:sz w:val="28"/>
          <w:szCs w:val="28"/>
        </w:rPr>
      </w:pPr>
      <w:r>
        <w:rPr>
          <w:rFonts w:hint="eastAsia" w:ascii="宋体" w:hAnsi="宋体" w:cs="宋体"/>
          <w:color w:val="auto"/>
          <w:kern w:val="0"/>
          <w:sz w:val="28"/>
          <w:szCs w:val="28"/>
        </w:rPr>
        <w:t>为进一步规范财政资金管理，牢固树立预算绩效理念，强化支出责任，提高财政资金使用效益，根据《益阳市人民政府关于全面推进预算绩效管理的实施意见》（益政发【2013】10号）、《益阳市财政局关于转发〈湖南省预算绩效管理工作规程（试行）〉的通知》（益财绩〔2014〕126号）文件要求,按照《桃江县财政局关于开展2020年度财政资金绩效自评工作的通知》（桃财绩〔2021〕14号）的部署，认真组织进行了桃江县自然资源局2020年度部门整体支出绩效自评工作，2020年我局各项</w:t>
      </w:r>
      <w:r>
        <w:rPr>
          <w:rFonts w:hint="eastAsia" w:ascii="宋体" w:hAnsi="宋体"/>
          <w:color w:val="auto"/>
          <w:sz w:val="28"/>
          <w:szCs w:val="28"/>
        </w:rPr>
        <w:t>保障服务职能履职到位，各项工作目标任务圆满完成,取得效益明显，绩效自评等级为优秀，绩效</w:t>
      </w:r>
      <w:r>
        <w:rPr>
          <w:rFonts w:hint="eastAsia" w:ascii="宋体" w:hAnsi="宋体" w:cs="宋体"/>
          <w:color w:val="auto"/>
          <w:kern w:val="0"/>
          <w:sz w:val="28"/>
          <w:szCs w:val="28"/>
        </w:rPr>
        <w:t>自评分99.5分。现将部门整体支出绩效评价情况报告如下：</w:t>
      </w:r>
    </w:p>
    <w:p>
      <w:pPr>
        <w:spacing w:line="440" w:lineRule="exact"/>
        <w:ind w:firstLine="562" w:firstLineChars="200"/>
        <w:rPr>
          <w:b/>
          <w:color w:val="auto"/>
          <w:sz w:val="28"/>
          <w:szCs w:val="28"/>
        </w:rPr>
      </w:pPr>
      <w:r>
        <w:rPr>
          <w:rFonts w:hint="eastAsia"/>
          <w:b/>
          <w:color w:val="auto"/>
          <w:sz w:val="28"/>
          <w:szCs w:val="28"/>
        </w:rPr>
        <w:t>一、部门概况</w:t>
      </w:r>
    </w:p>
    <w:p>
      <w:pPr>
        <w:spacing w:line="440" w:lineRule="exact"/>
        <w:ind w:firstLine="280" w:firstLineChars="100"/>
        <w:rPr>
          <w:rFonts w:ascii="宋体" w:hAnsi="宋体"/>
          <w:bCs/>
          <w:color w:val="auto"/>
          <w:sz w:val="28"/>
          <w:szCs w:val="28"/>
        </w:rPr>
      </w:pPr>
      <w:r>
        <w:rPr>
          <w:rFonts w:hint="eastAsia" w:ascii="宋体" w:hAnsi="宋体"/>
          <w:bCs/>
          <w:color w:val="auto"/>
          <w:sz w:val="28"/>
          <w:szCs w:val="28"/>
        </w:rPr>
        <w:t xml:space="preserve"> （一）部门基本概况</w:t>
      </w:r>
    </w:p>
    <w:p>
      <w:pPr>
        <w:spacing w:line="440" w:lineRule="exact"/>
        <w:ind w:firstLine="562" w:firstLineChars="200"/>
        <w:rPr>
          <w:rFonts w:ascii="宋体" w:hAnsi="宋体" w:cs="宋体"/>
          <w:bCs/>
          <w:color w:val="auto"/>
          <w:sz w:val="28"/>
          <w:szCs w:val="28"/>
        </w:rPr>
      </w:pPr>
      <w:r>
        <w:rPr>
          <w:rFonts w:hint="eastAsia" w:ascii="宋体" w:hAnsi="宋体" w:cs="宋体"/>
          <w:b/>
          <w:bCs/>
          <w:color w:val="auto"/>
          <w:sz w:val="28"/>
          <w:szCs w:val="28"/>
        </w:rPr>
        <w:t>桃江县自然资源局</w:t>
      </w:r>
      <w:r>
        <w:rPr>
          <w:rFonts w:hint="eastAsia" w:ascii="宋体" w:hAnsi="宋体" w:cs="宋体"/>
          <w:bCs/>
          <w:color w:val="auto"/>
          <w:sz w:val="28"/>
          <w:szCs w:val="28"/>
        </w:rPr>
        <w:t>是国家行政机关，2020年初</w:t>
      </w:r>
      <w:r>
        <w:rPr>
          <w:rFonts w:hint="eastAsia" w:ascii="宋体" w:hAnsi="宋体" w:cs="宋体"/>
          <w:color w:val="auto"/>
          <w:kern w:val="0"/>
          <w:sz w:val="28"/>
          <w:szCs w:val="28"/>
        </w:rPr>
        <w:t>有1个一级预算单位、</w:t>
      </w:r>
      <w:r>
        <w:rPr>
          <w:rFonts w:hint="eastAsia" w:ascii="宋体" w:hAnsi="宋体"/>
          <w:color w:val="auto"/>
          <w:kern w:val="0"/>
          <w:sz w:val="28"/>
          <w:szCs w:val="28"/>
        </w:rPr>
        <w:t>12</w:t>
      </w:r>
      <w:r>
        <w:rPr>
          <w:rFonts w:hint="eastAsia" w:ascii="宋体" w:hAnsi="宋体" w:cs="宋体"/>
          <w:color w:val="auto"/>
          <w:kern w:val="0"/>
          <w:sz w:val="28"/>
          <w:szCs w:val="28"/>
        </w:rPr>
        <w:t>个二级预算单位。局机关本级为科局级行政单位，财政预算为全额拨款单位；</w:t>
      </w:r>
      <w:r>
        <w:rPr>
          <w:rFonts w:hint="eastAsia" w:ascii="宋体" w:hAnsi="宋体"/>
          <w:color w:val="auto"/>
          <w:kern w:val="0"/>
          <w:sz w:val="28"/>
          <w:szCs w:val="28"/>
        </w:rPr>
        <w:t>12</w:t>
      </w:r>
      <w:r>
        <w:rPr>
          <w:rFonts w:hint="eastAsia" w:ascii="宋体" w:hAnsi="宋体" w:cs="宋体"/>
          <w:color w:val="auto"/>
          <w:kern w:val="0"/>
          <w:sz w:val="28"/>
          <w:szCs w:val="28"/>
        </w:rPr>
        <w:t>家二级预算单位中财政预算</w:t>
      </w:r>
      <w:r>
        <w:rPr>
          <w:rFonts w:hint="eastAsia" w:ascii="宋体" w:hAnsi="宋体" w:cs="宋体"/>
          <w:bCs/>
          <w:color w:val="auto"/>
          <w:sz w:val="28"/>
          <w:szCs w:val="28"/>
        </w:rPr>
        <w:t>参公单位</w:t>
      </w:r>
      <w:r>
        <w:rPr>
          <w:rFonts w:hint="eastAsia" w:ascii="宋体" w:hAnsi="宋体" w:cs="宋体"/>
          <w:color w:val="auto"/>
          <w:kern w:val="0"/>
          <w:sz w:val="28"/>
          <w:szCs w:val="28"/>
        </w:rPr>
        <w:t>拨款单位1个，财政预算全额拨款单位9个，</w:t>
      </w:r>
      <w:r>
        <w:rPr>
          <w:rFonts w:hint="eastAsia" w:ascii="宋体" w:hAnsi="宋体" w:cs="宋体"/>
          <w:bCs/>
          <w:color w:val="auto"/>
          <w:sz w:val="28"/>
          <w:szCs w:val="28"/>
        </w:rPr>
        <w:t>自收自支的单位2个</w:t>
      </w:r>
      <w:r>
        <w:rPr>
          <w:rFonts w:hint="eastAsia" w:ascii="宋体" w:hAnsi="宋体" w:cs="宋体"/>
          <w:color w:val="auto"/>
          <w:kern w:val="0"/>
          <w:sz w:val="28"/>
          <w:szCs w:val="28"/>
        </w:rPr>
        <w:t>。</w:t>
      </w:r>
      <w:r>
        <w:rPr>
          <w:rFonts w:hint="eastAsia" w:ascii="宋体" w:hAnsi="宋体" w:cs="宋体"/>
          <w:bCs/>
          <w:color w:val="auto"/>
          <w:sz w:val="28"/>
          <w:szCs w:val="28"/>
        </w:rPr>
        <w:t>位于桃江县桃花江镇桃花江大道100号，统一社会信用代码：11430922MB1636254P，职责和宗旨：代表县人民政府负责全县土地资源、矿产资源等自然资源的规划、管理、合理利用和测绘事业，现任法人代表熊伟。</w:t>
      </w:r>
    </w:p>
    <w:p>
      <w:pPr>
        <w:spacing w:line="440" w:lineRule="exact"/>
        <w:ind w:firstLine="560" w:firstLineChars="200"/>
        <w:rPr>
          <w:rFonts w:ascii="宋体" w:hAnsi="宋体"/>
          <w:bCs/>
          <w:color w:val="auto"/>
          <w:sz w:val="28"/>
          <w:szCs w:val="28"/>
        </w:rPr>
      </w:pPr>
      <w:r>
        <w:rPr>
          <w:rFonts w:hint="eastAsia" w:ascii="宋体" w:hAnsi="宋体"/>
          <w:bCs/>
          <w:color w:val="auto"/>
          <w:sz w:val="28"/>
          <w:szCs w:val="28"/>
        </w:rPr>
        <w:t>（1）机构设置情况</w:t>
      </w:r>
    </w:p>
    <w:p>
      <w:pPr>
        <w:spacing w:line="440" w:lineRule="exact"/>
        <w:ind w:firstLine="560" w:firstLineChars="200"/>
        <w:rPr>
          <w:rFonts w:ascii="宋体" w:hAnsi="宋体"/>
          <w:bCs/>
          <w:color w:val="auto"/>
          <w:sz w:val="28"/>
          <w:szCs w:val="28"/>
        </w:rPr>
      </w:pPr>
      <w:r>
        <w:rPr>
          <w:rFonts w:hint="eastAsia" w:ascii="宋体" w:hAnsi="宋体" w:cs="宋体"/>
          <w:bCs/>
          <w:color w:val="auto"/>
          <w:sz w:val="28"/>
          <w:szCs w:val="28"/>
        </w:rPr>
        <w:t>本局机关2020年初内设办公室、人事教育股、政策法规股、建设用地股、规划股、地产管理股、耕地保护股、地籍测绘股、矿产储量开发股、地环地勘股、财务审计股、政务服务股、不动产登记股、挂钩办、供后监管办15个职能股室，下辖桃花江等15个乡镇国土资源所和国土资源执</w:t>
      </w:r>
      <w:r>
        <w:rPr>
          <w:rFonts w:hint="eastAsia" w:ascii="宋体" w:hAnsi="宋体"/>
          <w:bCs/>
          <w:color w:val="auto"/>
          <w:sz w:val="28"/>
          <w:szCs w:val="28"/>
        </w:rPr>
        <w:t>法监察大队、不动产登记中心、国土资源交易拍卖中心、土地开发整理中心、征地服务所、土地储备中心、地籍测绘队、地质环境监测站、国土资源信息中心、规划建设服务中心、规划展示馆、城乡规划设计院等12个二级机构。</w:t>
      </w:r>
    </w:p>
    <w:p>
      <w:pPr>
        <w:spacing w:line="440" w:lineRule="exact"/>
        <w:ind w:firstLine="560" w:firstLineChars="200"/>
        <w:rPr>
          <w:rFonts w:ascii="宋体" w:hAnsi="宋体"/>
          <w:bCs/>
          <w:color w:val="auto"/>
          <w:sz w:val="28"/>
          <w:szCs w:val="28"/>
        </w:rPr>
      </w:pPr>
      <w:r>
        <w:rPr>
          <w:rFonts w:hint="eastAsia" w:ascii="宋体" w:hAnsi="宋体"/>
          <w:bCs/>
          <w:color w:val="auto"/>
          <w:sz w:val="28"/>
          <w:szCs w:val="28"/>
        </w:rPr>
        <w:t>2020年7月6日，我局</w:t>
      </w:r>
      <w:bookmarkStart w:id="0" w:name="发文字号"/>
      <w:r>
        <w:rPr>
          <w:rFonts w:hint="eastAsia" w:ascii="宋体" w:hAnsi="宋体"/>
          <w:bCs/>
          <w:color w:val="auto"/>
          <w:sz w:val="28"/>
          <w:szCs w:val="28"/>
        </w:rPr>
        <w:t>按照</w:t>
      </w:r>
      <w:r>
        <w:rPr>
          <w:rFonts w:ascii="宋体" w:hAnsi="宋体"/>
          <w:bCs/>
          <w:color w:val="auto"/>
          <w:sz w:val="28"/>
          <w:szCs w:val="28"/>
        </w:rPr>
        <w:t>桃办〔2019〕38号</w:t>
      </w:r>
      <w:bookmarkEnd w:id="0"/>
      <w:r>
        <w:rPr>
          <w:rFonts w:hint="eastAsia" w:ascii="宋体" w:hAnsi="宋体"/>
          <w:bCs/>
          <w:color w:val="auto"/>
          <w:sz w:val="28"/>
          <w:szCs w:val="28"/>
        </w:rPr>
        <w:t>、</w:t>
      </w:r>
      <w:r>
        <w:rPr>
          <w:rFonts w:ascii="宋体" w:hAnsi="宋体"/>
          <w:bCs/>
          <w:color w:val="auto"/>
          <w:sz w:val="28"/>
          <w:szCs w:val="28"/>
        </w:rPr>
        <w:t>桃</w:t>
      </w:r>
      <w:r>
        <w:rPr>
          <w:rFonts w:hint="eastAsia" w:ascii="宋体" w:hAnsi="宋体"/>
          <w:bCs/>
          <w:color w:val="auto"/>
          <w:sz w:val="28"/>
          <w:szCs w:val="28"/>
        </w:rPr>
        <w:t>编发</w:t>
      </w:r>
      <w:r>
        <w:rPr>
          <w:rFonts w:ascii="宋体" w:hAnsi="宋体"/>
          <w:bCs/>
          <w:color w:val="auto"/>
          <w:sz w:val="28"/>
          <w:szCs w:val="28"/>
        </w:rPr>
        <w:t>〔20</w:t>
      </w:r>
      <w:r>
        <w:rPr>
          <w:rFonts w:hint="eastAsia" w:ascii="宋体" w:hAnsi="宋体"/>
          <w:bCs/>
          <w:color w:val="auto"/>
          <w:sz w:val="28"/>
          <w:szCs w:val="28"/>
        </w:rPr>
        <w:t>20</w:t>
      </w:r>
      <w:r>
        <w:rPr>
          <w:rFonts w:ascii="宋体" w:hAnsi="宋体"/>
          <w:bCs/>
          <w:color w:val="auto"/>
          <w:sz w:val="28"/>
          <w:szCs w:val="28"/>
        </w:rPr>
        <w:t>〕</w:t>
      </w:r>
      <w:r>
        <w:rPr>
          <w:rFonts w:hint="eastAsia" w:ascii="宋体" w:hAnsi="宋体"/>
          <w:bCs/>
          <w:color w:val="auto"/>
          <w:sz w:val="28"/>
          <w:szCs w:val="28"/>
        </w:rPr>
        <w:t>5</w:t>
      </w:r>
      <w:r>
        <w:rPr>
          <w:rFonts w:ascii="宋体" w:hAnsi="宋体"/>
          <w:bCs/>
          <w:color w:val="auto"/>
          <w:sz w:val="28"/>
          <w:szCs w:val="28"/>
        </w:rPr>
        <w:t>号</w:t>
      </w:r>
      <w:r>
        <w:rPr>
          <w:rFonts w:hint="eastAsia" w:ascii="宋体" w:hAnsi="宋体"/>
          <w:bCs/>
          <w:color w:val="auto"/>
          <w:sz w:val="28"/>
          <w:szCs w:val="28"/>
        </w:rPr>
        <w:t>文件规定调整内设股室为19个，分别是：</w:t>
      </w:r>
      <w:r>
        <w:rPr>
          <w:rFonts w:ascii="宋体" w:hAnsi="宋体"/>
          <w:bCs/>
          <w:color w:val="auto"/>
          <w:sz w:val="28"/>
          <w:szCs w:val="28"/>
        </w:rPr>
        <w:t>办公室</w:t>
      </w:r>
      <w:r>
        <w:rPr>
          <w:rFonts w:hint="eastAsia" w:ascii="宋体" w:hAnsi="宋体"/>
          <w:bCs/>
          <w:color w:val="auto"/>
          <w:sz w:val="28"/>
          <w:szCs w:val="28"/>
        </w:rPr>
        <w:t>、</w:t>
      </w:r>
      <w:r>
        <w:rPr>
          <w:rFonts w:ascii="宋体" w:hAnsi="宋体"/>
          <w:bCs/>
          <w:color w:val="auto"/>
          <w:sz w:val="28"/>
          <w:szCs w:val="28"/>
        </w:rPr>
        <w:t>人事股（加挂机关工会牌子）</w:t>
      </w:r>
      <w:r>
        <w:rPr>
          <w:rFonts w:hint="eastAsia" w:ascii="宋体" w:hAnsi="宋体"/>
          <w:bCs/>
          <w:color w:val="auto"/>
          <w:sz w:val="28"/>
          <w:szCs w:val="28"/>
        </w:rPr>
        <w:t>、</w:t>
      </w:r>
      <w:r>
        <w:rPr>
          <w:rFonts w:ascii="宋体" w:hAnsi="宋体"/>
          <w:bCs/>
          <w:color w:val="auto"/>
          <w:sz w:val="28"/>
          <w:szCs w:val="28"/>
        </w:rPr>
        <w:t>财务股</w:t>
      </w:r>
      <w:r>
        <w:rPr>
          <w:rFonts w:hint="eastAsia" w:ascii="宋体" w:hAnsi="宋体"/>
          <w:bCs/>
          <w:color w:val="auto"/>
          <w:sz w:val="28"/>
          <w:szCs w:val="28"/>
        </w:rPr>
        <w:t>、</w:t>
      </w:r>
      <w:r>
        <w:rPr>
          <w:rFonts w:ascii="宋体" w:hAnsi="宋体"/>
          <w:bCs/>
          <w:color w:val="auto"/>
          <w:sz w:val="28"/>
          <w:szCs w:val="28"/>
        </w:rPr>
        <w:t>法规股</w:t>
      </w:r>
      <w:r>
        <w:rPr>
          <w:rFonts w:hint="eastAsia" w:ascii="宋体" w:hAnsi="宋体"/>
          <w:bCs/>
          <w:color w:val="auto"/>
          <w:sz w:val="28"/>
          <w:szCs w:val="28"/>
        </w:rPr>
        <w:t>、</w:t>
      </w:r>
      <w:r>
        <w:rPr>
          <w:rFonts w:ascii="宋体" w:hAnsi="宋体"/>
          <w:bCs/>
          <w:color w:val="auto"/>
          <w:sz w:val="28"/>
          <w:szCs w:val="28"/>
        </w:rPr>
        <w:t>自然资源调查确权监测股</w:t>
      </w:r>
      <w:r>
        <w:rPr>
          <w:rFonts w:hint="eastAsia" w:ascii="宋体" w:hAnsi="宋体"/>
          <w:bCs/>
          <w:color w:val="auto"/>
          <w:sz w:val="28"/>
          <w:szCs w:val="28"/>
        </w:rPr>
        <w:t>、</w:t>
      </w:r>
      <w:r>
        <w:rPr>
          <w:rFonts w:ascii="宋体" w:hAnsi="宋体"/>
          <w:bCs/>
          <w:color w:val="auto"/>
          <w:sz w:val="28"/>
          <w:szCs w:val="28"/>
        </w:rPr>
        <w:t>自然资源所有者权益股</w:t>
      </w:r>
      <w:r>
        <w:rPr>
          <w:rFonts w:hint="eastAsia" w:ascii="宋体" w:hAnsi="宋体"/>
          <w:bCs/>
          <w:color w:val="auto"/>
          <w:sz w:val="28"/>
          <w:szCs w:val="28"/>
        </w:rPr>
        <w:t>、</w:t>
      </w:r>
      <w:r>
        <w:rPr>
          <w:rFonts w:ascii="宋体" w:hAnsi="宋体"/>
          <w:bCs/>
          <w:color w:val="auto"/>
          <w:sz w:val="28"/>
          <w:szCs w:val="28"/>
        </w:rPr>
        <w:t>自然资源开发利用股</w:t>
      </w:r>
      <w:r>
        <w:rPr>
          <w:rFonts w:hint="eastAsia" w:ascii="宋体" w:hAnsi="宋体"/>
          <w:bCs/>
          <w:color w:val="auto"/>
          <w:sz w:val="28"/>
          <w:szCs w:val="28"/>
        </w:rPr>
        <w:t>、</w:t>
      </w:r>
      <w:r>
        <w:rPr>
          <w:rFonts w:ascii="宋体" w:hAnsi="宋体"/>
          <w:bCs/>
          <w:color w:val="auto"/>
          <w:sz w:val="28"/>
          <w:szCs w:val="28"/>
        </w:rPr>
        <w:t>自然资源规划核验股</w:t>
      </w:r>
      <w:r>
        <w:rPr>
          <w:rFonts w:hint="eastAsia" w:ascii="宋体" w:hAnsi="宋体"/>
          <w:bCs/>
          <w:color w:val="auto"/>
          <w:sz w:val="28"/>
          <w:szCs w:val="28"/>
        </w:rPr>
        <w:t>、</w:t>
      </w:r>
      <w:r>
        <w:rPr>
          <w:rFonts w:ascii="宋体" w:hAnsi="宋体"/>
          <w:bCs/>
          <w:color w:val="auto"/>
          <w:sz w:val="28"/>
          <w:szCs w:val="28"/>
        </w:rPr>
        <w:t>国土空间规划股</w:t>
      </w:r>
      <w:r>
        <w:rPr>
          <w:rFonts w:hint="eastAsia" w:ascii="宋体" w:hAnsi="宋体"/>
          <w:bCs/>
          <w:color w:val="auto"/>
          <w:sz w:val="28"/>
          <w:szCs w:val="28"/>
        </w:rPr>
        <w:t>、</w:t>
      </w:r>
      <w:r>
        <w:rPr>
          <w:rFonts w:ascii="宋体" w:hAnsi="宋体"/>
          <w:bCs/>
          <w:color w:val="auto"/>
          <w:sz w:val="28"/>
          <w:szCs w:val="28"/>
        </w:rPr>
        <w:t>规划技术股</w:t>
      </w:r>
      <w:r>
        <w:rPr>
          <w:rFonts w:hint="eastAsia" w:ascii="宋体" w:hAnsi="宋体"/>
          <w:bCs/>
          <w:color w:val="auto"/>
          <w:sz w:val="28"/>
          <w:szCs w:val="28"/>
        </w:rPr>
        <w:t>、</w:t>
      </w:r>
      <w:r>
        <w:rPr>
          <w:rFonts w:ascii="宋体" w:hAnsi="宋体"/>
          <w:bCs/>
          <w:color w:val="auto"/>
          <w:sz w:val="28"/>
          <w:szCs w:val="28"/>
        </w:rPr>
        <w:t>建设用地（工程）规划股</w:t>
      </w:r>
      <w:r>
        <w:rPr>
          <w:rFonts w:hint="eastAsia" w:ascii="宋体" w:hAnsi="宋体"/>
          <w:bCs/>
          <w:color w:val="auto"/>
          <w:sz w:val="28"/>
          <w:szCs w:val="28"/>
        </w:rPr>
        <w:t>、</w:t>
      </w:r>
      <w:r>
        <w:rPr>
          <w:rFonts w:ascii="宋体" w:hAnsi="宋体"/>
          <w:bCs/>
          <w:color w:val="auto"/>
          <w:sz w:val="28"/>
          <w:szCs w:val="28"/>
        </w:rPr>
        <w:t>村镇规划股</w:t>
      </w:r>
      <w:r>
        <w:rPr>
          <w:rFonts w:hint="eastAsia" w:ascii="宋体" w:hAnsi="宋体"/>
          <w:bCs/>
          <w:color w:val="auto"/>
          <w:sz w:val="28"/>
          <w:szCs w:val="28"/>
        </w:rPr>
        <w:t>、</w:t>
      </w:r>
      <w:r>
        <w:rPr>
          <w:rFonts w:ascii="宋体" w:hAnsi="宋体"/>
          <w:bCs/>
          <w:color w:val="auto"/>
          <w:sz w:val="28"/>
          <w:szCs w:val="28"/>
        </w:rPr>
        <w:t>国土空间用途管制股</w:t>
      </w:r>
      <w:r>
        <w:rPr>
          <w:rFonts w:hint="eastAsia" w:ascii="宋体" w:hAnsi="宋体"/>
          <w:bCs/>
          <w:color w:val="auto"/>
          <w:sz w:val="28"/>
          <w:szCs w:val="28"/>
        </w:rPr>
        <w:t>、</w:t>
      </w:r>
      <w:r>
        <w:rPr>
          <w:rFonts w:ascii="宋体" w:hAnsi="宋体"/>
          <w:bCs/>
          <w:color w:val="auto"/>
          <w:sz w:val="28"/>
          <w:szCs w:val="28"/>
        </w:rPr>
        <w:t>耕地保护监督股</w:t>
      </w:r>
      <w:r>
        <w:rPr>
          <w:rFonts w:hint="eastAsia" w:ascii="宋体" w:hAnsi="宋体"/>
          <w:bCs/>
          <w:color w:val="auto"/>
          <w:sz w:val="28"/>
          <w:szCs w:val="28"/>
        </w:rPr>
        <w:t>、</w:t>
      </w:r>
      <w:r>
        <w:rPr>
          <w:rFonts w:ascii="宋体" w:hAnsi="宋体"/>
          <w:bCs/>
          <w:color w:val="auto"/>
          <w:sz w:val="28"/>
          <w:szCs w:val="28"/>
        </w:rPr>
        <w:t>国土空间生态修复和地质勘查管理股</w:t>
      </w:r>
      <w:r>
        <w:rPr>
          <w:rFonts w:hint="eastAsia" w:ascii="宋体" w:hAnsi="宋体"/>
          <w:bCs/>
          <w:color w:val="auto"/>
          <w:sz w:val="28"/>
          <w:szCs w:val="28"/>
        </w:rPr>
        <w:t>、</w:t>
      </w:r>
      <w:r>
        <w:rPr>
          <w:rFonts w:ascii="宋体" w:hAnsi="宋体"/>
          <w:bCs/>
          <w:color w:val="auto"/>
          <w:sz w:val="28"/>
          <w:szCs w:val="28"/>
        </w:rPr>
        <w:t>矿产资源管理股</w:t>
      </w:r>
      <w:r>
        <w:rPr>
          <w:rFonts w:hint="eastAsia" w:ascii="宋体" w:hAnsi="宋体"/>
          <w:bCs/>
          <w:color w:val="auto"/>
          <w:sz w:val="28"/>
          <w:szCs w:val="28"/>
        </w:rPr>
        <w:t>、</w:t>
      </w:r>
      <w:r>
        <w:rPr>
          <w:rFonts w:ascii="宋体" w:hAnsi="宋体"/>
          <w:bCs/>
          <w:color w:val="auto"/>
          <w:sz w:val="28"/>
          <w:szCs w:val="28"/>
        </w:rPr>
        <w:t>督察股</w:t>
      </w:r>
      <w:r>
        <w:rPr>
          <w:rFonts w:hint="eastAsia" w:ascii="宋体" w:hAnsi="宋体"/>
          <w:bCs/>
          <w:color w:val="auto"/>
          <w:sz w:val="28"/>
          <w:szCs w:val="28"/>
        </w:rPr>
        <w:t>、</w:t>
      </w:r>
      <w:r>
        <w:rPr>
          <w:rFonts w:ascii="宋体" w:hAnsi="宋体"/>
          <w:bCs/>
          <w:color w:val="auto"/>
          <w:sz w:val="28"/>
          <w:szCs w:val="28"/>
        </w:rPr>
        <w:t>政务服务股</w:t>
      </w:r>
      <w:r>
        <w:rPr>
          <w:rFonts w:hint="eastAsia" w:ascii="宋体" w:hAnsi="宋体"/>
          <w:bCs/>
          <w:color w:val="auto"/>
          <w:sz w:val="28"/>
          <w:szCs w:val="28"/>
        </w:rPr>
        <w:t>、</w:t>
      </w:r>
      <w:r>
        <w:rPr>
          <w:rFonts w:ascii="宋体" w:hAnsi="宋体"/>
          <w:bCs/>
          <w:color w:val="auto"/>
          <w:sz w:val="28"/>
          <w:szCs w:val="28"/>
        </w:rPr>
        <w:t>机关党总支</w:t>
      </w:r>
      <w:r>
        <w:rPr>
          <w:rFonts w:hint="eastAsia" w:ascii="宋体" w:hAnsi="宋体"/>
          <w:bCs/>
          <w:color w:val="auto"/>
          <w:sz w:val="28"/>
          <w:szCs w:val="28"/>
        </w:rPr>
        <w:t xml:space="preserve"> ；调整下属二级机构为13个，分别是：自然资源执法监察大队、不动产登记中心、自然资源修复中心、城乡建设用地增减挂钩中心、土地储备中心、自然资源测绘院、地质环境监测站、征地拆迁管理中心、自然资源信息中心、规划建设服务中心、规划展示馆、城乡规划设计院、桃花江经济开发区分局，原国土资源交易拍卖中心撤销。</w:t>
      </w:r>
    </w:p>
    <w:p>
      <w:pPr>
        <w:spacing w:line="440" w:lineRule="exact"/>
        <w:ind w:firstLine="560" w:firstLineChars="200"/>
        <w:rPr>
          <w:rFonts w:ascii="宋体" w:hAnsi="宋体"/>
          <w:bCs/>
          <w:color w:val="auto"/>
          <w:sz w:val="28"/>
          <w:szCs w:val="28"/>
        </w:rPr>
      </w:pPr>
      <w:r>
        <w:rPr>
          <w:rFonts w:hint="eastAsia" w:ascii="宋体" w:hAnsi="宋体"/>
          <w:bCs/>
          <w:color w:val="auto"/>
          <w:sz w:val="28"/>
          <w:szCs w:val="28"/>
        </w:rPr>
        <w:t xml:space="preserve"> 根据</w:t>
      </w:r>
      <w:r>
        <w:rPr>
          <w:rFonts w:ascii="宋体" w:hAnsi="宋体"/>
          <w:bCs/>
          <w:color w:val="auto"/>
          <w:sz w:val="28"/>
          <w:szCs w:val="28"/>
        </w:rPr>
        <w:t>桃发〔2019〕1</w:t>
      </w:r>
      <w:r>
        <w:rPr>
          <w:rFonts w:hint="eastAsia" w:ascii="宋体" w:hAnsi="宋体"/>
          <w:bCs/>
          <w:color w:val="auto"/>
          <w:sz w:val="28"/>
          <w:szCs w:val="28"/>
        </w:rPr>
        <w:t>5</w:t>
      </w:r>
      <w:r>
        <w:rPr>
          <w:rFonts w:ascii="宋体" w:hAnsi="宋体"/>
          <w:bCs/>
          <w:color w:val="auto"/>
          <w:sz w:val="28"/>
          <w:szCs w:val="28"/>
        </w:rPr>
        <w:t>号</w:t>
      </w:r>
      <w:r>
        <w:rPr>
          <w:rFonts w:hint="eastAsia" w:ascii="宋体" w:hAnsi="宋体"/>
          <w:bCs/>
          <w:color w:val="auto"/>
          <w:sz w:val="28"/>
          <w:szCs w:val="28"/>
        </w:rPr>
        <w:t>文件，原乡镇国土规划建设环保所（国土资源所）改由乡镇实行属地管理，从2020年7月起，我局下辖桃花江等15个乡镇国土资源所不再履行职责。</w:t>
      </w:r>
    </w:p>
    <w:p>
      <w:pPr>
        <w:spacing w:line="440" w:lineRule="exact"/>
        <w:ind w:firstLine="280" w:firstLineChars="100"/>
        <w:rPr>
          <w:rFonts w:ascii="宋体" w:hAnsi="宋体"/>
          <w:bCs/>
          <w:color w:val="auto"/>
          <w:sz w:val="28"/>
          <w:szCs w:val="28"/>
        </w:rPr>
      </w:pPr>
      <w:r>
        <w:rPr>
          <w:rFonts w:hint="eastAsia" w:ascii="宋体" w:hAnsi="宋体"/>
          <w:bCs/>
          <w:color w:val="auto"/>
          <w:sz w:val="28"/>
          <w:szCs w:val="28"/>
        </w:rPr>
        <w:t>（2）人员情况</w:t>
      </w:r>
    </w:p>
    <w:p>
      <w:pPr>
        <w:spacing w:line="440" w:lineRule="exact"/>
        <w:ind w:firstLine="560" w:firstLineChars="200"/>
        <w:rPr>
          <w:rFonts w:ascii="宋体" w:hAnsi="宋体"/>
          <w:bCs/>
          <w:color w:val="auto"/>
          <w:sz w:val="28"/>
          <w:szCs w:val="28"/>
        </w:rPr>
      </w:pPr>
      <w:r>
        <w:rPr>
          <w:rFonts w:hint="eastAsia" w:ascii="宋体" w:hAnsi="宋体"/>
          <w:bCs/>
          <w:color w:val="auto"/>
          <w:sz w:val="28"/>
          <w:szCs w:val="28"/>
        </w:rPr>
        <w:t>2020年度年初部门预算核定批复我局在职人员编制数为282人，其中全额编制258人，自收自支编制24人，至2020年12月31日，我局实际在职人员数288人，其中：全额编制264人，自收自支编制24人。离退休人员89人。</w:t>
      </w:r>
    </w:p>
    <w:p>
      <w:pPr>
        <w:spacing w:line="440" w:lineRule="exact"/>
        <w:ind w:firstLine="280" w:firstLineChars="100"/>
        <w:rPr>
          <w:rFonts w:ascii="宋体" w:hAnsi="宋体"/>
          <w:bCs/>
          <w:color w:val="auto"/>
          <w:sz w:val="28"/>
          <w:szCs w:val="28"/>
        </w:rPr>
      </w:pPr>
      <w:r>
        <w:rPr>
          <w:rFonts w:hint="eastAsia" w:ascii="宋体" w:hAnsi="宋体"/>
          <w:bCs/>
          <w:color w:val="auto"/>
          <w:sz w:val="28"/>
          <w:szCs w:val="28"/>
        </w:rPr>
        <w:t>（3）主要职能（绩效总目标）</w:t>
      </w:r>
    </w:p>
    <w:p>
      <w:pPr>
        <w:spacing w:line="440" w:lineRule="exact"/>
        <w:ind w:firstLine="560" w:firstLineChars="200"/>
        <w:rPr>
          <w:rFonts w:ascii="宋体" w:hAnsi="宋体"/>
          <w:bCs/>
          <w:color w:val="auto"/>
          <w:sz w:val="28"/>
          <w:szCs w:val="28"/>
        </w:rPr>
      </w:pPr>
      <w:r>
        <w:rPr>
          <w:rFonts w:hint="eastAsia" w:ascii="宋体" w:hAnsi="宋体"/>
          <w:bCs/>
          <w:color w:val="auto"/>
          <w:sz w:val="28"/>
          <w:szCs w:val="28"/>
        </w:rPr>
        <w:t>1、依法履行全民所有土地、矿产、森林、草原、湿地、水等自然资源资产所有者职责和国土空间用途管制、城乡规划管理职责。宣传、贯彻、执行自然资源和国土空间规划（土地利用总体规划、城乡规划、主体功能区规划等）及测绘等法律法规，制定相关政策并贯彻实施。</w:t>
      </w:r>
    </w:p>
    <w:p>
      <w:pPr>
        <w:spacing w:line="440" w:lineRule="exact"/>
        <w:ind w:firstLine="560" w:firstLineChars="200"/>
        <w:rPr>
          <w:rFonts w:ascii="宋体" w:hAnsi="宋体"/>
          <w:bCs/>
          <w:color w:val="auto"/>
          <w:sz w:val="28"/>
          <w:szCs w:val="28"/>
        </w:rPr>
      </w:pPr>
      <w:r>
        <w:rPr>
          <w:rFonts w:hint="eastAsia" w:ascii="宋体" w:hAnsi="宋体"/>
          <w:bCs/>
          <w:color w:val="auto"/>
          <w:sz w:val="28"/>
          <w:szCs w:val="28"/>
        </w:rPr>
        <w:t>2、负责自然资源调查监测评价。贯彻执行自然资源调查监测评价指标体系和统计标准，建立统一规范的自然资源调查监测评价制度。实施全县自然资源基础调查、专项调查和动态监测。负责全县自然资源调查监测评价成果的监督管理和信息发布。指导开展自然资源调查监测评价工作。</w:t>
      </w:r>
    </w:p>
    <w:p>
      <w:pPr>
        <w:spacing w:line="440" w:lineRule="exact"/>
        <w:ind w:firstLine="560" w:firstLineChars="200"/>
        <w:rPr>
          <w:rFonts w:ascii="宋体" w:hAnsi="宋体"/>
          <w:bCs/>
          <w:color w:val="auto"/>
          <w:sz w:val="28"/>
          <w:szCs w:val="28"/>
        </w:rPr>
      </w:pPr>
      <w:r>
        <w:rPr>
          <w:rFonts w:hint="eastAsia" w:ascii="宋体" w:hAnsi="宋体"/>
          <w:bCs/>
          <w:color w:val="auto"/>
          <w:sz w:val="28"/>
          <w:szCs w:val="28"/>
        </w:rPr>
        <w:t>3、负责自然资源统一确权登记工作。执行各类自然资源和不动产统一确权登记、权籍调查、不动产测绘、争议调处、成果应用的制度、标准、规范。指导监督全县自然资源和不动产确权登记工作。建立健全全县自然资源和不动产登记信息管理基础平台。负责自然资源和不动产登记资料收集、整理、统计、共享、汇交管理等。</w:t>
      </w:r>
    </w:p>
    <w:p>
      <w:pPr>
        <w:spacing w:line="440" w:lineRule="exact"/>
        <w:ind w:firstLine="560" w:firstLineChars="200"/>
        <w:rPr>
          <w:rFonts w:ascii="宋体" w:hAnsi="宋体"/>
          <w:bCs/>
          <w:color w:val="auto"/>
          <w:sz w:val="28"/>
          <w:szCs w:val="28"/>
        </w:rPr>
      </w:pPr>
      <w:r>
        <w:rPr>
          <w:rFonts w:hint="eastAsia" w:ascii="宋体" w:hAnsi="宋体"/>
          <w:bCs/>
          <w:color w:val="auto"/>
          <w:sz w:val="28"/>
          <w:szCs w:val="28"/>
        </w:rPr>
        <w:t>4、负责自然资源资产有偿使用工作。贯彻执行全民所有自然资源资产统计制度，负责全民所有自然资源资产核算。编制全民所有自然资源资产负债表，拟订考核标准。执行全民所有自然资源资产划拨、出让、租赁、作价出资和土地储备政策，合理配置全民所有自然资源资产。管理和监督县域建设用地供应、政府土地储备、土地开发与节约集约利用。负责自然资源资产价值评估管理，依法收缴相关资产收益。</w:t>
      </w:r>
    </w:p>
    <w:p>
      <w:pPr>
        <w:spacing w:line="440" w:lineRule="exact"/>
        <w:ind w:firstLine="560" w:firstLineChars="200"/>
        <w:rPr>
          <w:rFonts w:ascii="宋体" w:hAnsi="宋体"/>
          <w:bCs/>
          <w:color w:val="auto"/>
          <w:sz w:val="28"/>
          <w:szCs w:val="28"/>
        </w:rPr>
      </w:pPr>
      <w:r>
        <w:rPr>
          <w:rFonts w:hint="eastAsia" w:ascii="宋体" w:hAnsi="宋体"/>
          <w:bCs/>
          <w:color w:val="auto"/>
          <w:sz w:val="28"/>
          <w:szCs w:val="28"/>
        </w:rPr>
        <w:t>5、负责自然资源的合理开发利用。组织拟订全县自然资源发展规划和战略，制定自然资源开发利用标准并组织实施，建立政府公示自然资源价格体系，组织开展自然资源分等定级价格评估，开展自然资源利用评价考核，指导节约集约利用。负责自然资源市场监管。组织研究自然资源管理涉及宏观调控、区域协调和城乡统筹的政策措施。</w:t>
      </w:r>
    </w:p>
    <w:p>
      <w:pPr>
        <w:spacing w:line="440" w:lineRule="exact"/>
        <w:ind w:firstLine="560" w:firstLineChars="200"/>
        <w:rPr>
          <w:rFonts w:ascii="宋体" w:hAnsi="宋体"/>
          <w:bCs/>
          <w:color w:val="auto"/>
          <w:sz w:val="28"/>
          <w:szCs w:val="28"/>
        </w:rPr>
      </w:pPr>
      <w:r>
        <w:rPr>
          <w:rFonts w:hint="eastAsia" w:ascii="宋体" w:hAnsi="宋体"/>
          <w:bCs/>
          <w:color w:val="auto"/>
          <w:sz w:val="28"/>
          <w:szCs w:val="28"/>
        </w:rPr>
        <w:t>6、负责建立空间规划体系并监督实施。组织城市发展战略研究、国土空间规划研究和全域自然资源管控研究。推进以国土空间规划为主体的土地利用总体规划、城乡规划、主体功能区规划等“多规合一”工作。指导乡镇国土空间规划等各类规划的编制、审查、报批工作。开展国土空间开发适宜性评价，建立国土空间规划实施监测、评估和预警体系。组织划定生态保护红线、永久基本农田、城镇开发边界等控制线，构建节约资源和保护环境的生产、生活、生态空间布局。贯彻落实国土空间用途管制制度。承担全县城乡规划管理工作，研究拟订城乡规划政策并组织监督实施。组织拟订并实施土地利用、土地储备供应、矿产资源保护利用、规划编制、基础测绘等年度计划。负责土地等国土空间用途转用工作。负责土地征收征用管理。</w:t>
      </w:r>
    </w:p>
    <w:p>
      <w:pPr>
        <w:spacing w:line="440" w:lineRule="exact"/>
        <w:ind w:firstLine="560" w:firstLineChars="200"/>
        <w:rPr>
          <w:rFonts w:ascii="宋体" w:hAnsi="宋体"/>
          <w:bCs/>
          <w:color w:val="auto"/>
          <w:sz w:val="28"/>
          <w:szCs w:val="28"/>
        </w:rPr>
      </w:pPr>
      <w:r>
        <w:rPr>
          <w:rFonts w:hint="eastAsia" w:ascii="宋体" w:hAnsi="宋体"/>
          <w:bCs/>
          <w:color w:val="auto"/>
          <w:sz w:val="28"/>
          <w:szCs w:val="28"/>
        </w:rPr>
        <w:t>7、负责城市规划区范围内各项建设工程的规划审批与规划管理及批后管理和监督工作。</w:t>
      </w:r>
    </w:p>
    <w:p>
      <w:pPr>
        <w:spacing w:line="440" w:lineRule="exact"/>
        <w:ind w:firstLine="560" w:firstLineChars="200"/>
        <w:rPr>
          <w:rFonts w:ascii="宋体" w:hAnsi="宋体"/>
          <w:bCs/>
          <w:color w:val="auto"/>
          <w:sz w:val="28"/>
          <w:szCs w:val="28"/>
        </w:rPr>
      </w:pPr>
      <w:r>
        <w:rPr>
          <w:rFonts w:hint="eastAsia" w:ascii="宋体" w:hAnsi="宋体"/>
          <w:bCs/>
          <w:color w:val="auto"/>
          <w:sz w:val="28"/>
          <w:szCs w:val="28"/>
        </w:rPr>
        <w:t>8、负责统筹国土空间生态修复。牵头组织编制国土空间生态修复规划并实施有关生态修复重大工程。负责国土空间综合整治、土地整理复垦、矿山地质环境恢复治理等工作。牵头建立和落实生态保护补偿制度，监督管理地下水过量开采及引发的地面沉降等地质问题，拟定合理利用社会资金进行生态修复的政策措施，并提出县级重大备选项目。</w:t>
      </w:r>
    </w:p>
    <w:p>
      <w:pPr>
        <w:spacing w:line="440" w:lineRule="exact"/>
        <w:ind w:firstLine="560" w:firstLineChars="200"/>
        <w:rPr>
          <w:rFonts w:ascii="宋体" w:hAnsi="宋体"/>
          <w:bCs/>
          <w:color w:val="auto"/>
          <w:sz w:val="28"/>
          <w:szCs w:val="28"/>
        </w:rPr>
      </w:pPr>
      <w:r>
        <w:rPr>
          <w:rFonts w:hint="eastAsia" w:ascii="宋体" w:hAnsi="宋体"/>
          <w:bCs/>
          <w:color w:val="auto"/>
          <w:sz w:val="28"/>
          <w:szCs w:val="28"/>
        </w:rPr>
        <w:t>9、负责组织实施最严格的耕地保护制度。贯彻执行耕地保护政策，负责耕地数量和生态保护，做好耕地质量保护有关工作。组织实施耕地保护责任目标考核和永久基本农田特殊保护。落实耕地占补平衡制度，监督占用耕地补偿制度执行情况。</w:t>
      </w:r>
    </w:p>
    <w:p>
      <w:pPr>
        <w:spacing w:line="440" w:lineRule="exact"/>
        <w:ind w:firstLine="560" w:firstLineChars="200"/>
        <w:rPr>
          <w:rFonts w:ascii="宋体" w:hAnsi="宋体"/>
          <w:bCs/>
          <w:color w:val="auto"/>
          <w:sz w:val="28"/>
          <w:szCs w:val="28"/>
        </w:rPr>
      </w:pPr>
      <w:r>
        <w:rPr>
          <w:rFonts w:hint="eastAsia" w:ascii="宋体" w:hAnsi="宋体"/>
          <w:bCs/>
          <w:color w:val="auto"/>
          <w:sz w:val="28"/>
          <w:szCs w:val="28"/>
        </w:rPr>
        <w:t>10、负责管理地质勘查行业和全县地质工作。组织实施全县地质调查和矿产资源勘查，管理县级地质勘查项目。监督管理地下水过量开采及引发的地面沉降等地质问题。负责古生物化石的监督管理。</w:t>
      </w:r>
    </w:p>
    <w:p>
      <w:pPr>
        <w:spacing w:line="440" w:lineRule="exact"/>
        <w:ind w:firstLine="560" w:firstLineChars="200"/>
        <w:rPr>
          <w:rFonts w:ascii="宋体" w:hAnsi="宋体"/>
          <w:bCs/>
          <w:color w:val="auto"/>
          <w:sz w:val="28"/>
          <w:szCs w:val="28"/>
        </w:rPr>
      </w:pPr>
      <w:r>
        <w:rPr>
          <w:rFonts w:hint="eastAsia" w:ascii="宋体" w:hAnsi="宋体"/>
          <w:bCs/>
          <w:color w:val="auto"/>
          <w:sz w:val="28"/>
          <w:szCs w:val="28"/>
        </w:rPr>
        <w:t>11、负责地质灾害预防和治理。负责落实综合防灾减灾规划相关要求，组织编制地质灾害防治规划和防护标准并指导实施。组织指导协调和监督地质灾害调查评价及隐患的普查、详查、排查。指导开展群测群防、专业监测和预报预警等工作，指导开展地质灾害工程治理工作。承担地质灾害应急救援的技术支撑工作。</w:t>
      </w:r>
    </w:p>
    <w:p>
      <w:pPr>
        <w:spacing w:line="440" w:lineRule="exact"/>
        <w:ind w:firstLine="560" w:firstLineChars="200"/>
        <w:rPr>
          <w:rFonts w:ascii="宋体" w:hAnsi="宋体"/>
          <w:bCs/>
          <w:color w:val="auto"/>
          <w:sz w:val="28"/>
          <w:szCs w:val="28"/>
        </w:rPr>
      </w:pPr>
      <w:r>
        <w:rPr>
          <w:rFonts w:hint="eastAsia" w:ascii="宋体" w:hAnsi="宋体"/>
          <w:bCs/>
          <w:color w:val="auto"/>
          <w:sz w:val="28"/>
          <w:szCs w:val="28"/>
        </w:rPr>
        <w:t>12、负责矿产资源管理工作。负责矿产资源储量管理及压覆矿产资源管理。负责矿业权管理。会同有关部门承担保护性开采的特定矿种、优势矿产的调控及相关管理工作。监督指导矿产资源合理利用和保护。</w:t>
      </w:r>
    </w:p>
    <w:p>
      <w:pPr>
        <w:spacing w:line="440" w:lineRule="exact"/>
        <w:ind w:firstLine="560" w:firstLineChars="200"/>
        <w:rPr>
          <w:rFonts w:ascii="宋体" w:hAnsi="宋体"/>
          <w:bCs/>
          <w:color w:val="auto"/>
          <w:sz w:val="28"/>
          <w:szCs w:val="28"/>
        </w:rPr>
      </w:pPr>
      <w:r>
        <w:rPr>
          <w:rFonts w:hint="eastAsia" w:ascii="宋体" w:hAnsi="宋体"/>
          <w:bCs/>
          <w:color w:val="auto"/>
          <w:sz w:val="28"/>
          <w:szCs w:val="28"/>
        </w:rPr>
        <w:t>13、负责测绘及地理信息管理工作。负责基础测绘和测绘行业管理。负责测绘资质资格与信用管理，监督管理地理信息安全和市场秩序。负责地图管理、地理信息公共服务工作。组织实施地方测量标志的设立和保护。承担全县地理空间数据的汇集、共享工作。负责全县航空航天遥感影像数据的统一获取、处理、提供。负责测绘勘察管理。</w:t>
      </w:r>
    </w:p>
    <w:p>
      <w:pPr>
        <w:spacing w:line="440" w:lineRule="exact"/>
        <w:ind w:firstLine="560" w:firstLineChars="200"/>
        <w:rPr>
          <w:rFonts w:ascii="宋体" w:hAnsi="宋体"/>
          <w:bCs/>
          <w:color w:val="auto"/>
          <w:sz w:val="28"/>
          <w:szCs w:val="28"/>
        </w:rPr>
      </w:pPr>
      <w:r>
        <w:rPr>
          <w:rFonts w:hint="eastAsia" w:ascii="宋体" w:hAnsi="宋体"/>
          <w:bCs/>
          <w:color w:val="auto"/>
          <w:sz w:val="28"/>
          <w:szCs w:val="28"/>
        </w:rPr>
        <w:t>14、指导集体土地征收、房屋拆迁和安置补偿管理。贯彻执行征地拆迁有关法律法规，根据相关法律法规和规范性文件拟定征地拆迁安置的制度、规定和配套办法。对政策执行情况进行监督检查。</w:t>
      </w:r>
    </w:p>
    <w:p>
      <w:pPr>
        <w:spacing w:line="440" w:lineRule="exact"/>
        <w:ind w:firstLine="560" w:firstLineChars="200"/>
        <w:rPr>
          <w:rFonts w:ascii="宋体" w:hAnsi="宋体"/>
          <w:bCs/>
          <w:color w:val="auto"/>
          <w:sz w:val="28"/>
          <w:szCs w:val="28"/>
        </w:rPr>
      </w:pPr>
      <w:r>
        <w:rPr>
          <w:rFonts w:hint="eastAsia" w:ascii="宋体" w:hAnsi="宋体"/>
          <w:bCs/>
          <w:color w:val="auto"/>
          <w:sz w:val="28"/>
          <w:szCs w:val="28"/>
        </w:rPr>
        <w:t>15、根据上级行业主管部门及县委、县政府授权，对乡镇政府及相关部门落实上级部门关于自然资源和国土空间规划及城乡规划的重大政策、决策部署及法律法规执行情况进行督察。查处自然资源开发利用、国土空间规划、城乡规划及测绘违法案件。组织处理涉及自然资源、城乡规划的人民群众来信来访处理工作。指导乡镇有关行政执法工作。</w:t>
      </w:r>
    </w:p>
    <w:p>
      <w:pPr>
        <w:spacing w:line="440" w:lineRule="exact"/>
        <w:ind w:firstLine="560" w:firstLineChars="200"/>
        <w:rPr>
          <w:rFonts w:ascii="宋体" w:hAnsi="宋体"/>
          <w:bCs/>
          <w:color w:val="auto"/>
          <w:sz w:val="28"/>
          <w:szCs w:val="28"/>
        </w:rPr>
      </w:pPr>
      <w:r>
        <w:rPr>
          <w:rFonts w:hint="eastAsia" w:ascii="宋体" w:hAnsi="宋体"/>
          <w:bCs/>
          <w:color w:val="auto"/>
          <w:sz w:val="28"/>
          <w:szCs w:val="28"/>
        </w:rPr>
        <w:t>16、统一领导和管理县林业局。</w:t>
      </w:r>
    </w:p>
    <w:p>
      <w:pPr>
        <w:spacing w:line="440" w:lineRule="exact"/>
        <w:ind w:firstLine="560" w:firstLineChars="200"/>
        <w:rPr>
          <w:rFonts w:ascii="宋体" w:hAnsi="宋体"/>
          <w:bCs/>
          <w:color w:val="auto"/>
          <w:sz w:val="28"/>
          <w:szCs w:val="28"/>
        </w:rPr>
      </w:pPr>
      <w:r>
        <w:rPr>
          <w:rFonts w:hint="eastAsia" w:ascii="宋体" w:hAnsi="宋体"/>
          <w:bCs/>
          <w:color w:val="auto"/>
          <w:sz w:val="28"/>
          <w:szCs w:val="28"/>
        </w:rPr>
        <w:t>17、完成县委、县政府交办的其他任务。</w:t>
      </w:r>
    </w:p>
    <w:p>
      <w:pPr>
        <w:spacing w:line="440" w:lineRule="exact"/>
        <w:ind w:firstLine="560" w:firstLineChars="200"/>
        <w:rPr>
          <w:rFonts w:ascii="宋体" w:hAnsi="宋体"/>
          <w:bCs/>
          <w:color w:val="auto"/>
          <w:sz w:val="28"/>
          <w:szCs w:val="28"/>
        </w:rPr>
      </w:pPr>
      <w:r>
        <w:rPr>
          <w:rFonts w:hint="eastAsia" w:ascii="宋体" w:hAnsi="宋体"/>
          <w:bCs/>
          <w:color w:val="auto"/>
          <w:sz w:val="28"/>
          <w:szCs w:val="28"/>
        </w:rPr>
        <w:t>18、职能转变。严格落实中央关于统一行使全民所有自然资源资产所有者职责，统一行使所有国土空间用途管制和生态保护修复职责的要求，发挥国土空间规划管控作用，为保护和合理开发利用自然资源提供科学指引。进一步加强自然资源的保护和合理开发利用，建立健全源头保护和全过程修复治理相结合的工作机制，实现整体保护、系统修复、综合治理。创新激励约束并举的制度措施，推进自然资源节约集约利用。进一步优化有关行政审批流程、强化监管力度，充分发挥市场对自然资源配置的决定性作用，更好发挥政府作用，强化自然资源管理规则、标准、制度的约束性作用，推进自然资源确权登记和评估的便民高效。</w:t>
      </w:r>
    </w:p>
    <w:p>
      <w:pPr>
        <w:spacing w:line="440" w:lineRule="exact"/>
        <w:ind w:firstLine="560" w:firstLineChars="200"/>
        <w:rPr>
          <w:rFonts w:hint="eastAsia" w:ascii="宋体" w:hAnsi="宋体"/>
          <w:bCs/>
          <w:color w:val="auto"/>
          <w:sz w:val="28"/>
          <w:szCs w:val="28"/>
        </w:rPr>
      </w:pPr>
      <w:r>
        <w:rPr>
          <w:rFonts w:hint="eastAsia" w:ascii="宋体" w:hAnsi="宋体"/>
          <w:bCs/>
          <w:color w:val="auto"/>
          <w:sz w:val="28"/>
          <w:szCs w:val="28"/>
        </w:rPr>
        <w:t>（二）部门整体支出预算规模、使用方向、主要内容及范围</w:t>
      </w:r>
    </w:p>
    <w:p>
      <w:pPr>
        <w:spacing w:line="440" w:lineRule="exact"/>
        <w:ind w:firstLine="560" w:firstLineChars="200"/>
        <w:rPr>
          <w:rFonts w:hint="eastAsia" w:ascii="宋体" w:hAnsi="宋体"/>
          <w:bCs/>
          <w:color w:val="auto"/>
          <w:sz w:val="28"/>
          <w:szCs w:val="28"/>
        </w:rPr>
      </w:pPr>
      <w:r>
        <w:rPr>
          <w:rFonts w:hint="eastAsia" w:ascii="宋体" w:hAnsi="宋体" w:cs="宋体"/>
          <w:color w:val="auto"/>
          <w:kern w:val="0"/>
          <w:sz w:val="28"/>
          <w:szCs w:val="28"/>
        </w:rPr>
        <w:t>根据财政部门年初预算及</w:t>
      </w:r>
      <w:r>
        <w:rPr>
          <w:rFonts w:hint="eastAsia" w:ascii="宋体" w:hAnsi="宋体"/>
          <w:color w:val="auto"/>
          <w:kern w:val="0"/>
          <w:sz w:val="28"/>
          <w:szCs w:val="28"/>
        </w:rPr>
        <w:t>2020年度</w:t>
      </w:r>
      <w:r>
        <w:rPr>
          <w:rFonts w:hint="eastAsia" w:ascii="宋体" w:hAnsi="宋体" w:cs="宋体"/>
          <w:color w:val="auto"/>
          <w:kern w:val="0"/>
          <w:sz w:val="28"/>
          <w:szCs w:val="28"/>
        </w:rPr>
        <w:t>后续下达的预算追加指标通知单的文件，2020年度我局的财政拨款预算收入</w:t>
      </w:r>
      <w:r>
        <w:rPr>
          <w:rFonts w:hint="eastAsia" w:ascii="宋体" w:hAnsi="宋体"/>
          <w:color w:val="auto"/>
          <w:kern w:val="0"/>
          <w:sz w:val="28"/>
          <w:szCs w:val="28"/>
        </w:rPr>
        <w:t>68,000.80</w:t>
      </w:r>
      <w:r>
        <w:rPr>
          <w:rFonts w:hint="eastAsia" w:ascii="宋体" w:hAnsi="宋体" w:cs="宋体"/>
          <w:color w:val="auto"/>
          <w:kern w:val="0"/>
          <w:sz w:val="28"/>
          <w:szCs w:val="28"/>
        </w:rPr>
        <w:t>万元，</w:t>
      </w:r>
      <w:r>
        <w:rPr>
          <w:rFonts w:hint="eastAsia" w:ascii="宋体" w:hAnsi="宋体"/>
          <w:bCs/>
          <w:color w:val="auto"/>
          <w:sz w:val="28"/>
          <w:szCs w:val="28"/>
        </w:rPr>
        <w:t>其中:1、基本支出预算3,383.90万元，主要包括人员经费1,738.22万元，日常公用经费1,645.68万元；2、项目支出预算64,616.90万元。另上级补助预算收入10.00万元,其他预算收入740.50</w:t>
      </w:r>
      <w:r>
        <w:rPr>
          <w:rFonts w:hint="eastAsia" w:ascii="宋体" w:hAnsi="宋体" w:cs="宋体"/>
          <w:color w:val="auto"/>
          <w:kern w:val="0"/>
          <w:sz w:val="28"/>
          <w:szCs w:val="28"/>
        </w:rPr>
        <w:t>万</w:t>
      </w:r>
      <w:r>
        <w:rPr>
          <w:rFonts w:hint="eastAsia" w:ascii="宋体" w:hAnsi="宋体"/>
          <w:bCs/>
          <w:color w:val="auto"/>
          <w:sz w:val="28"/>
          <w:szCs w:val="28"/>
        </w:rPr>
        <w:t>元。以上预算收入合计68,751.30万元。</w:t>
      </w:r>
      <w:r>
        <w:rPr>
          <w:rFonts w:hint="eastAsia" w:ascii="宋体" w:hAnsi="宋体" w:cs="宋体"/>
          <w:color w:val="auto"/>
          <w:kern w:val="0"/>
          <w:sz w:val="28"/>
          <w:szCs w:val="28"/>
        </w:rPr>
        <w:t>财政拨款预算支出760,792,028.10元。明细如下：</w:t>
      </w:r>
    </w:p>
    <w:p>
      <w:pPr>
        <w:spacing w:line="440" w:lineRule="exact"/>
        <w:rPr>
          <w:rFonts w:hint="eastAsia" w:ascii="宋体" w:hAnsi="宋体"/>
          <w:bCs/>
          <w:color w:val="auto"/>
          <w:sz w:val="28"/>
          <w:szCs w:val="28"/>
        </w:rPr>
      </w:pPr>
      <w:r>
        <w:rPr>
          <w:rFonts w:hint="eastAsia" w:ascii="宋体" w:hAnsi="宋体"/>
          <w:bCs/>
          <w:color w:val="auto"/>
          <w:sz w:val="28"/>
          <w:szCs w:val="28"/>
        </w:rPr>
        <w:t xml:space="preserve">   </w:t>
      </w:r>
    </w:p>
    <w:tbl>
      <w:tblPr>
        <w:tblStyle w:val="5"/>
        <w:tblW w:w="9671" w:type="dxa"/>
        <w:tblInd w:w="0" w:type="dxa"/>
        <w:tblLayout w:type="fixed"/>
        <w:tblCellMar>
          <w:top w:w="0" w:type="dxa"/>
          <w:left w:w="0" w:type="dxa"/>
          <w:bottom w:w="0" w:type="dxa"/>
          <w:right w:w="0" w:type="dxa"/>
        </w:tblCellMar>
      </w:tblPr>
      <w:tblGrid>
        <w:gridCol w:w="765"/>
        <w:gridCol w:w="1483"/>
        <w:gridCol w:w="2385"/>
        <w:gridCol w:w="2430"/>
        <w:gridCol w:w="2608"/>
      </w:tblGrid>
      <w:tr>
        <w:tblPrEx>
          <w:tblLayout w:type="fixed"/>
          <w:tblCellMar>
            <w:top w:w="0" w:type="dxa"/>
            <w:left w:w="0" w:type="dxa"/>
            <w:bottom w:w="0" w:type="dxa"/>
            <w:right w:w="0" w:type="dxa"/>
          </w:tblCellMar>
        </w:tblPrEx>
        <w:trPr>
          <w:trHeight w:val="600" w:hRule="atLeast"/>
        </w:trPr>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4"/>
              </w:rPr>
            </w:pPr>
            <w:r>
              <w:rPr>
                <w:rFonts w:hint="eastAsia" w:ascii="宋体" w:hAnsi="宋体" w:cs="宋体"/>
                <w:color w:val="auto"/>
                <w:kern w:val="0"/>
                <w:sz w:val="24"/>
              </w:rPr>
              <w:t>序号</w:t>
            </w:r>
          </w:p>
        </w:tc>
        <w:tc>
          <w:tcPr>
            <w:tcW w:w="1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项目</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预算支出</w:t>
            </w:r>
          </w:p>
        </w:tc>
        <w:tc>
          <w:tcPr>
            <w:tcW w:w="24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预算收入</w:t>
            </w:r>
          </w:p>
        </w:tc>
        <w:tc>
          <w:tcPr>
            <w:tcW w:w="26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支出-收入</w:t>
            </w:r>
          </w:p>
        </w:tc>
      </w:tr>
      <w:tr>
        <w:tblPrEx>
          <w:tblLayout w:type="fixed"/>
          <w:tblCellMar>
            <w:top w:w="0" w:type="dxa"/>
            <w:left w:w="0" w:type="dxa"/>
            <w:bottom w:w="0" w:type="dxa"/>
            <w:right w:w="0" w:type="dxa"/>
          </w:tblCellMar>
        </w:tblPrEx>
        <w:trPr>
          <w:trHeight w:val="547" w:hRule="atLeast"/>
        </w:trPr>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1</w:t>
            </w:r>
          </w:p>
        </w:tc>
        <w:tc>
          <w:tcPr>
            <w:tcW w:w="1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color w:val="auto"/>
                <w:sz w:val="24"/>
              </w:rPr>
            </w:pPr>
            <w:r>
              <w:rPr>
                <w:rFonts w:hint="eastAsia" w:ascii="宋体" w:hAnsi="宋体" w:cs="宋体"/>
                <w:color w:val="auto"/>
                <w:kern w:val="0"/>
                <w:sz w:val="24"/>
              </w:rPr>
              <w:t>基本支出</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31735764.67</w:t>
            </w:r>
          </w:p>
        </w:tc>
        <w:tc>
          <w:tcPr>
            <w:tcW w:w="24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33839013.69</w:t>
            </w:r>
          </w:p>
        </w:tc>
        <w:tc>
          <w:tcPr>
            <w:tcW w:w="26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-2103249.02</w:t>
            </w:r>
          </w:p>
        </w:tc>
      </w:tr>
      <w:tr>
        <w:tblPrEx>
          <w:tblLayout w:type="fixed"/>
          <w:tblCellMar>
            <w:top w:w="0" w:type="dxa"/>
            <w:left w:w="0" w:type="dxa"/>
            <w:bottom w:w="0" w:type="dxa"/>
            <w:right w:w="0" w:type="dxa"/>
          </w:tblCellMar>
        </w:tblPrEx>
        <w:trPr>
          <w:trHeight w:val="536" w:hRule="atLeast"/>
        </w:trPr>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2</w:t>
            </w:r>
          </w:p>
        </w:tc>
        <w:tc>
          <w:tcPr>
            <w:tcW w:w="1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color w:val="auto"/>
                <w:sz w:val="24"/>
              </w:rPr>
            </w:pPr>
            <w:r>
              <w:rPr>
                <w:rFonts w:hint="eastAsia" w:ascii="宋体" w:hAnsi="宋体" w:cs="宋体"/>
                <w:color w:val="auto"/>
                <w:kern w:val="0"/>
                <w:sz w:val="24"/>
              </w:rPr>
              <w:t>项目支出</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 xml:space="preserve"> 650501700</w:t>
            </w:r>
          </w:p>
        </w:tc>
        <w:tc>
          <w:tcPr>
            <w:tcW w:w="24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646168986.31</w:t>
            </w:r>
          </w:p>
        </w:tc>
        <w:tc>
          <w:tcPr>
            <w:tcW w:w="2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 xml:space="preserve"> 4332713.69</w:t>
            </w:r>
          </w:p>
        </w:tc>
      </w:tr>
      <w:tr>
        <w:tblPrEx>
          <w:tblLayout w:type="fixed"/>
          <w:tblCellMar>
            <w:top w:w="0" w:type="dxa"/>
            <w:left w:w="0" w:type="dxa"/>
            <w:bottom w:w="0" w:type="dxa"/>
            <w:right w:w="0" w:type="dxa"/>
          </w:tblCellMar>
        </w:tblPrEx>
        <w:trPr>
          <w:trHeight w:val="569" w:hRule="atLeast"/>
        </w:trPr>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4"/>
              </w:rPr>
            </w:pPr>
          </w:p>
        </w:tc>
        <w:tc>
          <w:tcPr>
            <w:tcW w:w="1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color w:val="auto"/>
                <w:sz w:val="24"/>
              </w:rPr>
            </w:pPr>
            <w:r>
              <w:rPr>
                <w:rFonts w:hint="eastAsia" w:ascii="宋体" w:hAnsi="宋体" w:cs="宋体"/>
                <w:color w:val="auto"/>
                <w:kern w:val="0"/>
                <w:sz w:val="24"/>
              </w:rPr>
              <w:t>合计</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682237464.67</w:t>
            </w:r>
          </w:p>
        </w:tc>
        <w:tc>
          <w:tcPr>
            <w:tcW w:w="24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680008000</w:t>
            </w:r>
          </w:p>
        </w:tc>
        <w:tc>
          <w:tcPr>
            <w:tcW w:w="26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2229464.67</w:t>
            </w:r>
          </w:p>
        </w:tc>
      </w:tr>
    </w:tbl>
    <w:p>
      <w:pPr>
        <w:spacing w:line="440" w:lineRule="exact"/>
        <w:ind w:firstLine="280" w:firstLineChars="100"/>
        <w:rPr>
          <w:rFonts w:ascii="宋体" w:hAnsi="宋体"/>
          <w:bCs/>
          <w:color w:val="auto"/>
          <w:sz w:val="28"/>
          <w:szCs w:val="28"/>
        </w:rPr>
      </w:pPr>
      <w:r>
        <w:rPr>
          <w:rFonts w:hint="eastAsia" w:ascii="宋体" w:hAnsi="宋体"/>
          <w:bCs/>
          <w:color w:val="auto"/>
          <w:sz w:val="28"/>
          <w:szCs w:val="28"/>
        </w:rPr>
        <w:t>注：预算支出比预算收入多2229464.67元，来源为使用上年财政预算拨款结转结余。</w:t>
      </w:r>
    </w:p>
    <w:p>
      <w:pPr>
        <w:spacing w:line="440" w:lineRule="exact"/>
        <w:ind w:firstLine="280" w:firstLineChars="100"/>
        <w:rPr>
          <w:rFonts w:hint="eastAsia" w:ascii="宋体" w:hAnsi="宋体"/>
          <w:bCs/>
          <w:color w:val="auto"/>
          <w:sz w:val="28"/>
          <w:szCs w:val="28"/>
        </w:rPr>
      </w:pPr>
      <w:r>
        <w:rPr>
          <w:rFonts w:hint="eastAsia" w:ascii="宋体" w:hAnsi="宋体"/>
          <w:bCs/>
          <w:color w:val="auto"/>
          <w:sz w:val="28"/>
          <w:szCs w:val="28"/>
        </w:rPr>
        <w:t>（三）绩效目标设立情况</w:t>
      </w:r>
    </w:p>
    <w:p>
      <w:pPr>
        <w:spacing w:line="440" w:lineRule="exact"/>
        <w:ind w:firstLine="560" w:firstLineChars="200"/>
        <w:rPr>
          <w:rFonts w:hint="eastAsia" w:ascii="宋体" w:hAnsi="宋体"/>
          <w:bCs/>
          <w:color w:val="auto"/>
          <w:sz w:val="28"/>
          <w:szCs w:val="28"/>
        </w:rPr>
      </w:pPr>
      <w:r>
        <w:rPr>
          <w:rFonts w:hint="eastAsia" w:ascii="宋体" w:hAnsi="宋体"/>
          <w:bCs/>
          <w:color w:val="auto"/>
          <w:sz w:val="28"/>
          <w:szCs w:val="28"/>
        </w:rPr>
        <w:t>根据上级部门文件和相关资料，我局2020年度预算收入为68000.8万元(预算支出为68223.7464万元)，为专项商品和服务支出及项目支出等</w:t>
      </w:r>
      <w:r>
        <w:rPr>
          <w:rFonts w:hint="eastAsia" w:ascii="宋体" w:hAnsi="宋体"/>
          <w:b/>
          <w:bCs/>
          <w:color w:val="auto"/>
          <w:kern w:val="0"/>
          <w:sz w:val="28"/>
          <w:szCs w:val="28"/>
        </w:rPr>
        <w:t>，</w:t>
      </w:r>
      <w:r>
        <w:rPr>
          <w:rFonts w:hint="eastAsia" w:ascii="宋体" w:hAnsi="宋体"/>
          <w:bCs/>
          <w:color w:val="auto"/>
          <w:sz w:val="28"/>
          <w:szCs w:val="28"/>
        </w:rPr>
        <w:t>目标决策具有规范性、合理性、明确性，资金预算已分配到各内容或项目，并制定了中长期绩效目标和年度绩效目标，中长期绩效目标为完成跨年度绩效项目，完成国家规定自然资源部门应该履行的职能，年度绩效目标为完成年初预算和年中调整确定的绩效目标，完成上级政府部门交办的年度具体工作任务,完成征收非税收入33,359.00万元。</w:t>
      </w:r>
    </w:p>
    <w:p>
      <w:pPr>
        <w:spacing w:line="440" w:lineRule="exact"/>
        <w:ind w:firstLine="562" w:firstLineChars="200"/>
        <w:rPr>
          <w:rFonts w:hint="eastAsia" w:ascii="宋体" w:hAnsi="宋体"/>
          <w:b/>
          <w:color w:val="auto"/>
          <w:sz w:val="28"/>
          <w:szCs w:val="28"/>
        </w:rPr>
      </w:pPr>
      <w:r>
        <w:rPr>
          <w:rFonts w:hint="eastAsia" w:ascii="宋体" w:hAnsi="宋体"/>
          <w:b/>
          <w:color w:val="auto"/>
          <w:sz w:val="28"/>
          <w:szCs w:val="28"/>
        </w:rPr>
        <w:t>二、部门整体支出管理及使用情况分析</w:t>
      </w:r>
    </w:p>
    <w:p>
      <w:pPr>
        <w:spacing w:line="440" w:lineRule="exact"/>
        <w:ind w:firstLine="560"/>
        <w:rPr>
          <w:rFonts w:hint="eastAsia" w:ascii="宋体" w:hAnsi="宋体"/>
          <w:color w:val="auto"/>
          <w:sz w:val="28"/>
          <w:szCs w:val="28"/>
        </w:rPr>
      </w:pPr>
      <w:r>
        <w:rPr>
          <w:rFonts w:hint="eastAsia" w:ascii="宋体" w:hAnsi="宋体"/>
          <w:color w:val="auto"/>
          <w:sz w:val="28"/>
          <w:szCs w:val="28"/>
        </w:rPr>
        <w:t>我局2020年度预算部门整体支出使用682,237,464.67元，其中:基本支出31,735,764.67元，项目支出650,501,700.00元，其他支出0.00元,其中使用2020年度财政拨款680,008,000.00元，使用利息收入1,305.86元,使用其他收入3,257,236.57元。预算收入结转结余1,029,077.76元，结转结余主要原因为其他收入没有全部使用和项目支出有调整。</w:t>
      </w:r>
    </w:p>
    <w:p>
      <w:pPr>
        <w:pStyle w:val="2"/>
        <w:ind w:firstLine="2766" w:firstLineChars="1064"/>
        <w:rPr>
          <w:color w:val="auto"/>
        </w:rPr>
      </w:pPr>
      <w:r>
        <w:rPr>
          <w:rFonts w:hint="eastAsia"/>
          <w:color w:val="auto"/>
        </w:rPr>
        <w:t>预算支出与实际支出对比表（一）</w:t>
      </w:r>
    </w:p>
    <w:tbl>
      <w:tblPr>
        <w:tblStyle w:val="5"/>
        <w:tblW w:w="9645" w:type="dxa"/>
        <w:tblInd w:w="0" w:type="dxa"/>
        <w:tblLayout w:type="fixed"/>
        <w:tblCellMar>
          <w:top w:w="0" w:type="dxa"/>
          <w:left w:w="0" w:type="dxa"/>
          <w:bottom w:w="0" w:type="dxa"/>
          <w:right w:w="0" w:type="dxa"/>
        </w:tblCellMar>
      </w:tblPr>
      <w:tblGrid>
        <w:gridCol w:w="720"/>
        <w:gridCol w:w="2010"/>
        <w:gridCol w:w="2115"/>
        <w:gridCol w:w="1950"/>
        <w:gridCol w:w="1725"/>
        <w:gridCol w:w="1125"/>
      </w:tblGrid>
      <w:tr>
        <w:tblPrEx>
          <w:tblLayout w:type="fixed"/>
          <w:tblCellMar>
            <w:top w:w="0" w:type="dxa"/>
            <w:left w:w="0" w:type="dxa"/>
            <w:bottom w:w="0" w:type="dxa"/>
            <w:right w:w="0" w:type="dxa"/>
          </w:tblCellMar>
        </w:tblPrEx>
        <w:trPr>
          <w:trHeight w:val="658"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序号</w:t>
            </w:r>
          </w:p>
        </w:tc>
        <w:tc>
          <w:tcPr>
            <w:tcW w:w="20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项目</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预算支出（元）</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实际使用（元）</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差额（预算-使用）：元</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备注</w:t>
            </w:r>
          </w:p>
        </w:tc>
      </w:tr>
      <w:tr>
        <w:tblPrEx>
          <w:tblLayout w:type="fixed"/>
          <w:tblCellMar>
            <w:top w:w="0" w:type="dxa"/>
            <w:left w:w="0" w:type="dxa"/>
            <w:bottom w:w="0" w:type="dxa"/>
            <w:right w:w="0" w:type="dxa"/>
          </w:tblCellMar>
        </w:tblPrEx>
        <w:trPr>
          <w:trHeight w:val="513"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1</w:t>
            </w:r>
          </w:p>
        </w:tc>
        <w:tc>
          <w:tcPr>
            <w:tcW w:w="20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color w:val="auto"/>
                <w:sz w:val="24"/>
              </w:rPr>
            </w:pPr>
            <w:r>
              <w:rPr>
                <w:rFonts w:hint="eastAsia" w:ascii="宋体" w:hAnsi="宋体" w:cs="宋体"/>
                <w:color w:val="auto"/>
                <w:kern w:val="0"/>
                <w:sz w:val="24"/>
              </w:rPr>
              <w:t>工资福利费用</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25,507,764.16</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25,507,764.16</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 xml:space="preserve">0.00 </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4"/>
              </w:rPr>
            </w:pPr>
          </w:p>
        </w:tc>
      </w:tr>
      <w:tr>
        <w:tblPrEx>
          <w:tblLayout w:type="fixed"/>
          <w:tblCellMar>
            <w:top w:w="0" w:type="dxa"/>
            <w:left w:w="0" w:type="dxa"/>
            <w:bottom w:w="0" w:type="dxa"/>
            <w:right w:w="0" w:type="dxa"/>
          </w:tblCellMar>
        </w:tblPrEx>
        <w:trPr>
          <w:trHeight w:val="547"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2</w:t>
            </w:r>
          </w:p>
        </w:tc>
        <w:tc>
          <w:tcPr>
            <w:tcW w:w="20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color w:val="auto"/>
                <w:sz w:val="24"/>
              </w:rPr>
            </w:pPr>
            <w:r>
              <w:rPr>
                <w:rFonts w:hint="eastAsia" w:ascii="宋体" w:hAnsi="宋体" w:cs="宋体"/>
                <w:color w:val="auto"/>
                <w:kern w:val="0"/>
                <w:sz w:val="24"/>
              </w:rPr>
              <w:t>商品和服务费用</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4,819,029.50</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4,819,029.50</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 xml:space="preserve">0.00 </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4"/>
              </w:rPr>
            </w:pPr>
          </w:p>
        </w:tc>
      </w:tr>
      <w:tr>
        <w:tblPrEx>
          <w:tblLayout w:type="fixed"/>
          <w:tblCellMar>
            <w:top w:w="0" w:type="dxa"/>
            <w:left w:w="0" w:type="dxa"/>
            <w:bottom w:w="0" w:type="dxa"/>
            <w:right w:w="0"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3</w:t>
            </w:r>
          </w:p>
        </w:tc>
        <w:tc>
          <w:tcPr>
            <w:tcW w:w="20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color w:val="auto"/>
                <w:sz w:val="24"/>
              </w:rPr>
            </w:pPr>
            <w:r>
              <w:rPr>
                <w:rFonts w:hint="eastAsia" w:ascii="宋体" w:hAnsi="宋体" w:cs="宋体"/>
                <w:color w:val="auto"/>
                <w:kern w:val="0"/>
                <w:sz w:val="24"/>
              </w:rPr>
              <w:t>对个人和家庭补助费用</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805,953.00</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805,953.00</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 xml:space="preserve">0.00 </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4"/>
              </w:rPr>
            </w:pPr>
          </w:p>
        </w:tc>
      </w:tr>
      <w:tr>
        <w:tblPrEx>
          <w:tblLayout w:type="fixed"/>
          <w:tblCellMar>
            <w:top w:w="0" w:type="dxa"/>
            <w:left w:w="0" w:type="dxa"/>
            <w:bottom w:w="0" w:type="dxa"/>
            <w:right w:w="0" w:type="dxa"/>
          </w:tblCellMar>
        </w:tblPrEx>
        <w:trPr>
          <w:trHeight w:val="513"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4</w:t>
            </w:r>
          </w:p>
        </w:tc>
        <w:tc>
          <w:tcPr>
            <w:tcW w:w="20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color w:val="auto"/>
                <w:sz w:val="24"/>
              </w:rPr>
            </w:pPr>
            <w:r>
              <w:rPr>
                <w:rFonts w:hint="eastAsia" w:ascii="宋体" w:hAnsi="宋体" w:cs="宋体"/>
                <w:color w:val="auto"/>
                <w:kern w:val="0"/>
                <w:sz w:val="24"/>
              </w:rPr>
              <w:t>固定资产折旧费</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603,018.01</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603,018.01</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 xml:space="preserve">0.00 </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4"/>
              </w:rPr>
            </w:pPr>
          </w:p>
        </w:tc>
      </w:tr>
      <w:tr>
        <w:tblPrEx>
          <w:tblLayout w:type="fixed"/>
          <w:tblCellMar>
            <w:top w:w="0" w:type="dxa"/>
            <w:left w:w="0" w:type="dxa"/>
            <w:bottom w:w="0" w:type="dxa"/>
            <w:right w:w="0" w:type="dxa"/>
          </w:tblCellMar>
        </w:tblPrEx>
        <w:trPr>
          <w:trHeight w:val="501"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5</w:t>
            </w:r>
          </w:p>
        </w:tc>
        <w:tc>
          <w:tcPr>
            <w:tcW w:w="20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color w:val="auto"/>
                <w:sz w:val="24"/>
              </w:rPr>
            </w:pPr>
            <w:r>
              <w:rPr>
                <w:rFonts w:hint="eastAsia" w:ascii="宋体" w:hAnsi="宋体" w:cs="宋体"/>
                <w:color w:val="auto"/>
                <w:kern w:val="0"/>
                <w:sz w:val="24"/>
              </w:rPr>
              <w:t>项目支出</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650,501,700.00</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650,501,700.00</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 xml:space="preserve">0.00 </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4"/>
              </w:rPr>
            </w:pPr>
          </w:p>
        </w:tc>
      </w:tr>
      <w:tr>
        <w:tblPrEx>
          <w:tblLayout w:type="fixed"/>
          <w:tblCellMar>
            <w:top w:w="0" w:type="dxa"/>
            <w:left w:w="0" w:type="dxa"/>
            <w:bottom w:w="0" w:type="dxa"/>
            <w:right w:w="0" w:type="dxa"/>
          </w:tblCellMar>
        </w:tblPrEx>
        <w:trPr>
          <w:trHeight w:val="524"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 w:val="24"/>
              </w:rPr>
            </w:pPr>
            <w:r>
              <w:rPr>
                <w:rFonts w:hint="eastAsia" w:ascii="宋体" w:hAnsi="宋体" w:cs="宋体"/>
                <w:color w:val="auto"/>
                <w:kern w:val="0"/>
                <w:sz w:val="24"/>
              </w:rPr>
              <w:t>6</w:t>
            </w:r>
          </w:p>
        </w:tc>
        <w:tc>
          <w:tcPr>
            <w:tcW w:w="20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color w:val="auto"/>
                <w:kern w:val="0"/>
                <w:sz w:val="24"/>
              </w:rPr>
            </w:pPr>
            <w:r>
              <w:rPr>
                <w:rFonts w:hint="eastAsia" w:ascii="宋体" w:hAnsi="宋体" w:cs="宋体"/>
                <w:color w:val="auto"/>
                <w:kern w:val="0"/>
                <w:sz w:val="24"/>
              </w:rPr>
              <w:t>其他</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4"/>
              </w:rPr>
            </w:pP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kern w:val="0"/>
                <w:sz w:val="24"/>
              </w:rPr>
            </w:pP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 xml:space="preserve">0.00 </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4"/>
              </w:rPr>
            </w:pPr>
          </w:p>
        </w:tc>
      </w:tr>
      <w:tr>
        <w:tblPrEx>
          <w:tblLayout w:type="fixed"/>
          <w:tblCellMar>
            <w:top w:w="0" w:type="dxa"/>
            <w:left w:w="0" w:type="dxa"/>
            <w:bottom w:w="0" w:type="dxa"/>
            <w:right w:w="0" w:type="dxa"/>
          </w:tblCellMar>
        </w:tblPrEx>
        <w:trPr>
          <w:trHeight w:val="524"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kern w:val="0"/>
                <w:sz w:val="24"/>
              </w:rPr>
            </w:pPr>
            <w:r>
              <w:rPr>
                <w:rFonts w:hint="eastAsia" w:ascii="宋体" w:hAnsi="宋体" w:cs="宋体"/>
                <w:color w:val="auto"/>
                <w:kern w:val="0"/>
                <w:sz w:val="24"/>
              </w:rPr>
              <w:t>7</w:t>
            </w:r>
          </w:p>
        </w:tc>
        <w:tc>
          <w:tcPr>
            <w:tcW w:w="20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color w:val="auto"/>
                <w:kern w:val="0"/>
                <w:sz w:val="24"/>
              </w:rPr>
            </w:pPr>
            <w:r>
              <w:rPr>
                <w:rFonts w:hint="eastAsia" w:ascii="宋体" w:hAnsi="宋体" w:cs="宋体"/>
                <w:color w:val="auto"/>
                <w:kern w:val="0"/>
                <w:sz w:val="24"/>
              </w:rPr>
              <w:t>资本性作支出</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kern w:val="0"/>
                <w:sz w:val="24"/>
              </w:rPr>
            </w:pP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kern w:val="0"/>
                <w:sz w:val="24"/>
              </w:rPr>
            </w:pP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 xml:space="preserve">0.00 </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4"/>
              </w:rPr>
            </w:pPr>
          </w:p>
        </w:tc>
      </w:tr>
      <w:tr>
        <w:tblPrEx>
          <w:tblLayout w:type="fixed"/>
          <w:tblCellMar>
            <w:top w:w="0" w:type="dxa"/>
            <w:left w:w="0" w:type="dxa"/>
            <w:bottom w:w="0" w:type="dxa"/>
            <w:right w:w="0" w:type="dxa"/>
          </w:tblCellMar>
        </w:tblPrEx>
        <w:trPr>
          <w:trHeight w:val="511"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4"/>
              </w:rPr>
            </w:pPr>
          </w:p>
        </w:tc>
        <w:tc>
          <w:tcPr>
            <w:tcW w:w="20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color w:val="auto"/>
                <w:sz w:val="24"/>
              </w:rPr>
            </w:pPr>
            <w:r>
              <w:rPr>
                <w:rFonts w:hint="eastAsia" w:ascii="宋体" w:hAnsi="宋体" w:cs="宋体"/>
                <w:color w:val="auto"/>
                <w:kern w:val="0"/>
                <w:sz w:val="24"/>
              </w:rPr>
              <w:t>合计</w:t>
            </w: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682,237,464.67</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682,237,464.67</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 xml:space="preserve">0.00 </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kern w:val="0"/>
                <w:sz w:val="24"/>
              </w:rPr>
            </w:pPr>
          </w:p>
        </w:tc>
      </w:tr>
    </w:tbl>
    <w:p>
      <w:pPr>
        <w:spacing w:line="440" w:lineRule="exact"/>
        <w:ind w:firstLine="2800" w:firstLineChars="1000"/>
        <w:rPr>
          <w:rFonts w:hint="eastAsia" w:ascii="宋体" w:hAnsi="宋体"/>
          <w:color w:val="auto"/>
          <w:sz w:val="28"/>
          <w:szCs w:val="28"/>
        </w:rPr>
      </w:pPr>
      <w:r>
        <w:rPr>
          <w:rFonts w:hint="eastAsia" w:ascii="宋体" w:hAnsi="宋体"/>
          <w:color w:val="auto"/>
          <w:sz w:val="28"/>
          <w:szCs w:val="28"/>
        </w:rPr>
        <w:t>预算拨款与实际支出对比表（二）</w:t>
      </w:r>
    </w:p>
    <w:tbl>
      <w:tblPr>
        <w:tblStyle w:val="5"/>
        <w:tblW w:w="9658" w:type="dxa"/>
        <w:tblInd w:w="0" w:type="dxa"/>
        <w:tblLayout w:type="fixed"/>
        <w:tblCellMar>
          <w:top w:w="0" w:type="dxa"/>
          <w:left w:w="0" w:type="dxa"/>
          <w:bottom w:w="0" w:type="dxa"/>
          <w:right w:w="0" w:type="dxa"/>
        </w:tblCellMar>
      </w:tblPr>
      <w:tblGrid>
        <w:gridCol w:w="666"/>
        <w:gridCol w:w="1836"/>
        <w:gridCol w:w="1976"/>
        <w:gridCol w:w="2059"/>
        <w:gridCol w:w="1850"/>
        <w:gridCol w:w="1271"/>
      </w:tblGrid>
      <w:tr>
        <w:tblPrEx>
          <w:tblLayout w:type="fixed"/>
          <w:tblCellMar>
            <w:top w:w="0" w:type="dxa"/>
            <w:left w:w="0" w:type="dxa"/>
            <w:bottom w:w="0" w:type="dxa"/>
            <w:right w:w="0" w:type="dxa"/>
          </w:tblCellMar>
        </w:tblPrEx>
        <w:trPr>
          <w:trHeight w:val="711" w:hRule="atLeast"/>
        </w:trPr>
        <w:tc>
          <w:tcPr>
            <w:tcW w:w="6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序号</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项目</w:t>
            </w:r>
          </w:p>
        </w:tc>
        <w:tc>
          <w:tcPr>
            <w:tcW w:w="19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到位金额（元）</w:t>
            </w:r>
          </w:p>
        </w:tc>
        <w:tc>
          <w:tcPr>
            <w:tcW w:w="20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实际使用（元）</w:t>
            </w: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差额（到位-使用）：元</w:t>
            </w:r>
          </w:p>
        </w:tc>
        <w:tc>
          <w:tcPr>
            <w:tcW w:w="12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备注</w:t>
            </w:r>
          </w:p>
        </w:tc>
      </w:tr>
      <w:tr>
        <w:tblPrEx>
          <w:tblLayout w:type="fixed"/>
          <w:tblCellMar>
            <w:top w:w="0" w:type="dxa"/>
            <w:left w:w="0" w:type="dxa"/>
            <w:bottom w:w="0" w:type="dxa"/>
            <w:right w:w="0" w:type="dxa"/>
          </w:tblCellMar>
        </w:tblPrEx>
        <w:trPr>
          <w:trHeight w:val="711" w:hRule="atLeast"/>
        </w:trPr>
        <w:tc>
          <w:tcPr>
            <w:tcW w:w="6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1</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color w:val="auto"/>
                <w:sz w:val="24"/>
              </w:rPr>
            </w:pPr>
            <w:r>
              <w:rPr>
                <w:rFonts w:hint="eastAsia" w:ascii="宋体" w:hAnsi="宋体" w:cs="宋体"/>
                <w:color w:val="auto"/>
                <w:kern w:val="0"/>
                <w:sz w:val="24"/>
              </w:rPr>
              <w:t>工资福利费用</w:t>
            </w:r>
          </w:p>
        </w:tc>
        <w:tc>
          <w:tcPr>
            <w:tcW w:w="19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25,507,764.16</w:t>
            </w:r>
          </w:p>
        </w:tc>
        <w:tc>
          <w:tcPr>
            <w:tcW w:w="20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25,507,764.16</w:t>
            </w: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 xml:space="preserve"> -   </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4"/>
              </w:rPr>
            </w:pPr>
          </w:p>
        </w:tc>
      </w:tr>
      <w:tr>
        <w:tblPrEx>
          <w:tblLayout w:type="fixed"/>
          <w:tblCellMar>
            <w:top w:w="0" w:type="dxa"/>
            <w:left w:w="0" w:type="dxa"/>
            <w:bottom w:w="0" w:type="dxa"/>
            <w:right w:w="0" w:type="dxa"/>
          </w:tblCellMar>
        </w:tblPrEx>
        <w:trPr>
          <w:trHeight w:val="711" w:hRule="atLeast"/>
        </w:trPr>
        <w:tc>
          <w:tcPr>
            <w:tcW w:w="6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2</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color w:val="auto"/>
                <w:sz w:val="24"/>
              </w:rPr>
            </w:pPr>
            <w:r>
              <w:rPr>
                <w:rFonts w:hint="eastAsia" w:ascii="宋体" w:hAnsi="宋体" w:cs="宋体"/>
                <w:color w:val="auto"/>
                <w:kern w:val="0"/>
                <w:sz w:val="24"/>
              </w:rPr>
              <w:t>商品和服务费用</w:t>
            </w:r>
          </w:p>
        </w:tc>
        <w:tc>
          <w:tcPr>
            <w:tcW w:w="19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4,819,029.50</w:t>
            </w:r>
          </w:p>
        </w:tc>
        <w:tc>
          <w:tcPr>
            <w:tcW w:w="20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4,819,029.50</w:t>
            </w: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 xml:space="preserve"> -   </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4"/>
              </w:rPr>
            </w:pPr>
          </w:p>
        </w:tc>
      </w:tr>
      <w:tr>
        <w:tblPrEx>
          <w:tblLayout w:type="fixed"/>
          <w:tblCellMar>
            <w:top w:w="0" w:type="dxa"/>
            <w:left w:w="0" w:type="dxa"/>
            <w:bottom w:w="0" w:type="dxa"/>
            <w:right w:w="0" w:type="dxa"/>
          </w:tblCellMar>
        </w:tblPrEx>
        <w:trPr>
          <w:trHeight w:val="711" w:hRule="atLeast"/>
        </w:trPr>
        <w:tc>
          <w:tcPr>
            <w:tcW w:w="6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3</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color w:val="auto"/>
                <w:sz w:val="24"/>
              </w:rPr>
            </w:pPr>
            <w:r>
              <w:rPr>
                <w:rFonts w:hint="eastAsia" w:ascii="宋体" w:hAnsi="宋体" w:cs="宋体"/>
                <w:color w:val="auto"/>
                <w:kern w:val="0"/>
                <w:sz w:val="24"/>
              </w:rPr>
              <w:t>对个人和家庭补助费用</w:t>
            </w:r>
          </w:p>
        </w:tc>
        <w:tc>
          <w:tcPr>
            <w:tcW w:w="19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805,953.00</w:t>
            </w:r>
          </w:p>
        </w:tc>
        <w:tc>
          <w:tcPr>
            <w:tcW w:w="20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805,953.00</w:t>
            </w: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 xml:space="preserve"> -   </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4"/>
              </w:rPr>
            </w:pPr>
          </w:p>
        </w:tc>
      </w:tr>
      <w:tr>
        <w:tblPrEx>
          <w:tblLayout w:type="fixed"/>
          <w:tblCellMar>
            <w:top w:w="0" w:type="dxa"/>
            <w:left w:w="0" w:type="dxa"/>
            <w:bottom w:w="0" w:type="dxa"/>
            <w:right w:w="0" w:type="dxa"/>
          </w:tblCellMar>
        </w:tblPrEx>
        <w:trPr>
          <w:trHeight w:val="711" w:hRule="atLeast"/>
        </w:trPr>
        <w:tc>
          <w:tcPr>
            <w:tcW w:w="6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4</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color w:val="auto"/>
                <w:sz w:val="24"/>
              </w:rPr>
            </w:pPr>
            <w:r>
              <w:rPr>
                <w:rFonts w:hint="eastAsia" w:ascii="宋体" w:hAnsi="宋体" w:cs="宋体"/>
                <w:color w:val="auto"/>
                <w:kern w:val="0"/>
                <w:sz w:val="24"/>
              </w:rPr>
              <w:t>固定资产折旧费</w:t>
            </w:r>
          </w:p>
        </w:tc>
        <w:tc>
          <w:tcPr>
            <w:tcW w:w="19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603,018.01</w:t>
            </w:r>
          </w:p>
        </w:tc>
        <w:tc>
          <w:tcPr>
            <w:tcW w:w="20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603,018.01</w:t>
            </w: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 xml:space="preserve"> -   </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4"/>
              </w:rPr>
            </w:pPr>
          </w:p>
        </w:tc>
      </w:tr>
      <w:tr>
        <w:tblPrEx>
          <w:tblLayout w:type="fixed"/>
          <w:tblCellMar>
            <w:top w:w="0" w:type="dxa"/>
            <w:left w:w="0" w:type="dxa"/>
            <w:bottom w:w="0" w:type="dxa"/>
            <w:right w:w="0" w:type="dxa"/>
          </w:tblCellMar>
        </w:tblPrEx>
        <w:trPr>
          <w:trHeight w:val="711" w:hRule="atLeast"/>
        </w:trPr>
        <w:tc>
          <w:tcPr>
            <w:tcW w:w="6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5</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color w:val="auto"/>
                <w:sz w:val="24"/>
              </w:rPr>
            </w:pPr>
            <w:r>
              <w:rPr>
                <w:rFonts w:hint="eastAsia" w:ascii="宋体" w:hAnsi="宋体" w:cs="宋体"/>
                <w:color w:val="auto"/>
                <w:kern w:val="0"/>
                <w:sz w:val="24"/>
              </w:rPr>
              <w:t>项目支出</w:t>
            </w:r>
          </w:p>
        </w:tc>
        <w:tc>
          <w:tcPr>
            <w:tcW w:w="19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646,168,986.31</w:t>
            </w:r>
          </w:p>
        </w:tc>
        <w:tc>
          <w:tcPr>
            <w:tcW w:w="20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650,501,700.00</w:t>
            </w: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 xml:space="preserve"> -4,332,713.69 </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4"/>
              </w:rPr>
            </w:pPr>
          </w:p>
        </w:tc>
      </w:tr>
      <w:tr>
        <w:tblPrEx>
          <w:tblLayout w:type="fixed"/>
          <w:tblCellMar>
            <w:top w:w="0" w:type="dxa"/>
            <w:left w:w="0" w:type="dxa"/>
            <w:bottom w:w="0" w:type="dxa"/>
            <w:right w:w="0" w:type="dxa"/>
          </w:tblCellMar>
        </w:tblPrEx>
        <w:trPr>
          <w:trHeight w:val="711" w:hRule="atLeast"/>
        </w:trPr>
        <w:tc>
          <w:tcPr>
            <w:tcW w:w="6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6</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color w:val="auto"/>
                <w:sz w:val="24"/>
              </w:rPr>
            </w:pPr>
            <w:r>
              <w:rPr>
                <w:rFonts w:hint="eastAsia" w:ascii="宋体" w:hAnsi="宋体" w:cs="宋体"/>
                <w:color w:val="auto"/>
                <w:kern w:val="0"/>
                <w:sz w:val="24"/>
              </w:rPr>
              <w:t>利息</w:t>
            </w:r>
          </w:p>
        </w:tc>
        <w:tc>
          <w:tcPr>
            <w:tcW w:w="19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1,305.86</w:t>
            </w:r>
          </w:p>
        </w:tc>
        <w:tc>
          <w:tcPr>
            <w:tcW w:w="20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4"/>
              </w:rPr>
            </w:pP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 xml:space="preserve"> 1,305.86 </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4"/>
              </w:rPr>
            </w:pPr>
          </w:p>
        </w:tc>
      </w:tr>
      <w:tr>
        <w:tblPrEx>
          <w:tblLayout w:type="fixed"/>
          <w:tblCellMar>
            <w:top w:w="0" w:type="dxa"/>
            <w:left w:w="0" w:type="dxa"/>
            <w:bottom w:w="0" w:type="dxa"/>
            <w:right w:w="0" w:type="dxa"/>
          </w:tblCellMar>
        </w:tblPrEx>
        <w:trPr>
          <w:trHeight w:val="711" w:hRule="atLeast"/>
        </w:trPr>
        <w:tc>
          <w:tcPr>
            <w:tcW w:w="6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7</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color w:val="auto"/>
                <w:sz w:val="24"/>
              </w:rPr>
            </w:pPr>
            <w:r>
              <w:rPr>
                <w:rFonts w:hint="eastAsia" w:ascii="宋体" w:hAnsi="宋体" w:cs="宋体"/>
                <w:color w:val="auto"/>
                <w:kern w:val="0"/>
                <w:sz w:val="24"/>
              </w:rPr>
              <w:t>其他</w:t>
            </w:r>
          </w:p>
        </w:tc>
        <w:tc>
          <w:tcPr>
            <w:tcW w:w="19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5,360,485.59</w:t>
            </w:r>
          </w:p>
        </w:tc>
        <w:tc>
          <w:tcPr>
            <w:tcW w:w="20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 w:val="24"/>
              </w:rPr>
            </w:pP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 xml:space="preserve"> 5,360,485.59 </w:t>
            </w: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4"/>
              </w:rPr>
            </w:pPr>
          </w:p>
        </w:tc>
      </w:tr>
      <w:tr>
        <w:tblPrEx>
          <w:tblLayout w:type="fixed"/>
          <w:tblCellMar>
            <w:top w:w="0" w:type="dxa"/>
            <w:left w:w="0" w:type="dxa"/>
            <w:bottom w:w="0" w:type="dxa"/>
            <w:right w:w="0" w:type="dxa"/>
          </w:tblCellMar>
        </w:tblPrEx>
        <w:trPr>
          <w:trHeight w:val="721" w:hRule="atLeast"/>
        </w:trPr>
        <w:tc>
          <w:tcPr>
            <w:tcW w:w="6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4"/>
              </w:rPr>
            </w:pP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color w:val="auto"/>
                <w:sz w:val="24"/>
              </w:rPr>
            </w:pPr>
            <w:r>
              <w:rPr>
                <w:rFonts w:hint="eastAsia" w:ascii="宋体" w:hAnsi="宋体" w:cs="宋体"/>
                <w:color w:val="auto"/>
                <w:kern w:val="0"/>
                <w:sz w:val="24"/>
              </w:rPr>
              <w:t>合计</w:t>
            </w:r>
          </w:p>
        </w:tc>
        <w:tc>
          <w:tcPr>
            <w:tcW w:w="19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683,266,542.43</w:t>
            </w:r>
          </w:p>
        </w:tc>
        <w:tc>
          <w:tcPr>
            <w:tcW w:w="20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682,237,464.67</w:t>
            </w: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 xml:space="preserve"> 1,029,077.76 </w:t>
            </w:r>
          </w:p>
        </w:tc>
        <w:tc>
          <w:tcPr>
            <w:tcW w:w="12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auto"/>
                <w:sz w:val="15"/>
                <w:szCs w:val="15"/>
              </w:rPr>
            </w:pPr>
          </w:p>
        </w:tc>
      </w:tr>
    </w:tbl>
    <w:p>
      <w:pPr>
        <w:spacing w:line="440" w:lineRule="exact"/>
        <w:ind w:firstLine="560" w:firstLineChars="200"/>
        <w:rPr>
          <w:rFonts w:hint="eastAsia" w:ascii="宋体" w:hAnsi="宋体"/>
          <w:color w:val="auto"/>
          <w:sz w:val="28"/>
          <w:szCs w:val="28"/>
        </w:rPr>
      </w:pPr>
      <w:r>
        <w:rPr>
          <w:rFonts w:hint="eastAsia" w:ascii="宋体" w:hAnsi="宋体"/>
          <w:color w:val="auto"/>
          <w:sz w:val="28"/>
          <w:szCs w:val="28"/>
        </w:rPr>
        <w:t>注：差异原因为其他收入没有全部使用和项目支出有调整。</w:t>
      </w:r>
    </w:p>
    <w:p>
      <w:pPr>
        <w:spacing w:line="440" w:lineRule="exact"/>
        <w:ind w:firstLine="560" w:firstLineChars="200"/>
        <w:rPr>
          <w:rFonts w:hint="eastAsia" w:ascii="宋体" w:hAnsi="宋体"/>
          <w:color w:val="auto"/>
          <w:sz w:val="28"/>
          <w:szCs w:val="28"/>
        </w:rPr>
      </w:pPr>
      <w:r>
        <w:rPr>
          <w:rFonts w:hint="eastAsia" w:ascii="宋体" w:hAnsi="宋体"/>
          <w:color w:val="auto"/>
          <w:sz w:val="28"/>
          <w:szCs w:val="28"/>
        </w:rPr>
        <w:t>1、基本支出</w:t>
      </w:r>
    </w:p>
    <w:p>
      <w:pPr>
        <w:spacing w:line="440" w:lineRule="exact"/>
        <w:ind w:firstLine="560" w:firstLineChars="200"/>
        <w:rPr>
          <w:rFonts w:hint="eastAsia" w:ascii="宋体" w:hAnsi="宋体"/>
          <w:color w:val="auto"/>
          <w:sz w:val="28"/>
          <w:szCs w:val="28"/>
        </w:rPr>
      </w:pPr>
      <w:r>
        <w:rPr>
          <w:rFonts w:hint="eastAsia" w:ascii="宋体" w:hAnsi="宋体"/>
          <w:color w:val="auto"/>
          <w:sz w:val="28"/>
          <w:szCs w:val="28"/>
        </w:rPr>
        <w:t>1.1、基本支出明细情况</w:t>
      </w:r>
    </w:p>
    <w:p>
      <w:pPr>
        <w:wordWrap w:val="0"/>
        <w:spacing w:line="440" w:lineRule="exact"/>
        <w:ind w:firstLine="560" w:firstLineChars="200"/>
        <w:jc w:val="left"/>
        <w:rPr>
          <w:rFonts w:ascii="宋体" w:hAnsi="宋体"/>
          <w:bCs/>
          <w:color w:val="auto"/>
          <w:sz w:val="28"/>
          <w:szCs w:val="28"/>
        </w:rPr>
      </w:pPr>
      <w:r>
        <w:rPr>
          <w:rFonts w:hint="eastAsia" w:ascii="宋体" w:hAnsi="宋体"/>
          <w:color w:val="auto"/>
          <w:sz w:val="28"/>
          <w:szCs w:val="28"/>
        </w:rPr>
        <w:t>基本支出用于为保障机构正常运转、完成日常工作任务而发生的支出，包括工资福利支出、一般商品和服务支出、对个人和家庭的补助等。我局2020年度基本支出31,735,764.67元，其中：人员经费支出25,507,764.16元，日常公用经费支出</w:t>
      </w:r>
      <w:r>
        <w:rPr>
          <w:rFonts w:hint="eastAsia" w:ascii="宋体" w:hAnsi="宋体" w:cs="宋体"/>
          <w:color w:val="auto"/>
          <w:kern w:val="0"/>
          <w:sz w:val="28"/>
          <w:szCs w:val="28"/>
        </w:rPr>
        <w:t>5,624,982.50</w:t>
      </w:r>
      <w:r>
        <w:rPr>
          <w:rFonts w:hint="eastAsia" w:ascii="宋体" w:hAnsi="宋体"/>
          <w:color w:val="auto"/>
          <w:sz w:val="28"/>
          <w:szCs w:val="28"/>
        </w:rPr>
        <w:t>元,固定资产折旧费603,018.01元。与预算基本持平。基本支出明细如下：</w:t>
      </w:r>
      <w:r>
        <w:rPr>
          <w:rFonts w:hint="eastAsia" w:ascii="宋体" w:hAnsi="宋体"/>
          <w:bCs/>
          <w:color w:val="auto"/>
          <w:sz w:val="28"/>
          <w:szCs w:val="28"/>
        </w:rPr>
        <w:t xml:space="preserve">                                                                                           单位:元</w:t>
      </w:r>
    </w:p>
    <w:tbl>
      <w:tblPr>
        <w:tblStyle w:val="5"/>
        <w:tblW w:w="9585" w:type="dxa"/>
        <w:tblInd w:w="0" w:type="dxa"/>
        <w:tblLayout w:type="fixed"/>
        <w:tblCellMar>
          <w:top w:w="0" w:type="dxa"/>
          <w:left w:w="0" w:type="dxa"/>
          <w:bottom w:w="0" w:type="dxa"/>
          <w:right w:w="0" w:type="dxa"/>
        </w:tblCellMar>
      </w:tblPr>
      <w:tblGrid>
        <w:gridCol w:w="1080"/>
        <w:gridCol w:w="2250"/>
        <w:gridCol w:w="2070"/>
        <w:gridCol w:w="2217"/>
        <w:gridCol w:w="1968"/>
      </w:tblGrid>
      <w:tr>
        <w:tblPrEx>
          <w:tblLayout w:type="fixed"/>
          <w:tblCellMar>
            <w:top w:w="0" w:type="dxa"/>
            <w:left w:w="0" w:type="dxa"/>
            <w:bottom w:w="0" w:type="dxa"/>
            <w:right w:w="0" w:type="dxa"/>
          </w:tblCellMar>
        </w:tblPrEx>
        <w:trPr>
          <w:trHeight w:val="526" w:hRule="atLeast"/>
        </w:trPr>
        <w:tc>
          <w:tcPr>
            <w:tcW w:w="108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序号</w:t>
            </w:r>
          </w:p>
        </w:tc>
        <w:tc>
          <w:tcPr>
            <w:tcW w:w="225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项目名称</w:t>
            </w:r>
          </w:p>
        </w:tc>
        <w:tc>
          <w:tcPr>
            <w:tcW w:w="207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预算金额</w:t>
            </w:r>
          </w:p>
        </w:tc>
        <w:tc>
          <w:tcPr>
            <w:tcW w:w="2217"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决算支出金额</w:t>
            </w:r>
          </w:p>
        </w:tc>
        <w:tc>
          <w:tcPr>
            <w:tcW w:w="1968"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结转结余金额</w:t>
            </w:r>
          </w:p>
        </w:tc>
      </w:tr>
      <w:tr>
        <w:tblPrEx>
          <w:tblLayout w:type="fixed"/>
          <w:tblCellMar>
            <w:top w:w="0" w:type="dxa"/>
            <w:left w:w="0" w:type="dxa"/>
            <w:bottom w:w="0" w:type="dxa"/>
            <w:right w:w="0" w:type="dxa"/>
          </w:tblCellMar>
        </w:tblPrEx>
        <w:trPr>
          <w:trHeight w:val="534" w:hRule="atLeast"/>
        </w:trPr>
        <w:tc>
          <w:tcPr>
            <w:tcW w:w="108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1</w:t>
            </w:r>
          </w:p>
        </w:tc>
        <w:tc>
          <w:tcPr>
            <w:tcW w:w="2250" w:type="dxa"/>
            <w:tcBorders>
              <w:top w:val="nil"/>
              <w:left w:val="nil"/>
              <w:bottom w:val="single" w:color="000000" w:sz="8" w:space="0"/>
              <w:right w:val="single" w:color="000000" w:sz="8" w:space="0"/>
            </w:tcBorders>
            <w:tcMar>
              <w:top w:w="15" w:type="dxa"/>
              <w:left w:w="15" w:type="dxa"/>
              <w:right w:w="15" w:type="dxa"/>
            </w:tcMar>
            <w:vAlign w:val="center"/>
          </w:tcPr>
          <w:p>
            <w:pPr>
              <w:widowControl/>
              <w:textAlignment w:val="center"/>
              <w:rPr>
                <w:rFonts w:hint="eastAsia" w:ascii="宋体" w:hAnsi="宋体" w:cs="宋体"/>
                <w:color w:val="auto"/>
                <w:sz w:val="24"/>
              </w:rPr>
            </w:pPr>
            <w:r>
              <w:rPr>
                <w:rFonts w:hint="eastAsia" w:ascii="宋体" w:hAnsi="宋体" w:cs="宋体"/>
                <w:color w:val="auto"/>
                <w:kern w:val="0"/>
                <w:sz w:val="24"/>
              </w:rPr>
              <w:t>工资福利支出</w:t>
            </w:r>
          </w:p>
        </w:tc>
        <w:tc>
          <w:tcPr>
            <w:tcW w:w="2070" w:type="dxa"/>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25,507,764.16</w:t>
            </w:r>
          </w:p>
        </w:tc>
        <w:tc>
          <w:tcPr>
            <w:tcW w:w="2217" w:type="dxa"/>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25,507,764.16</w:t>
            </w:r>
          </w:p>
        </w:tc>
        <w:tc>
          <w:tcPr>
            <w:tcW w:w="1968" w:type="dxa"/>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0</w:t>
            </w:r>
          </w:p>
        </w:tc>
      </w:tr>
      <w:tr>
        <w:tblPrEx>
          <w:tblLayout w:type="fixed"/>
          <w:tblCellMar>
            <w:top w:w="0" w:type="dxa"/>
            <w:left w:w="0" w:type="dxa"/>
            <w:bottom w:w="0" w:type="dxa"/>
            <w:right w:w="0" w:type="dxa"/>
          </w:tblCellMar>
        </w:tblPrEx>
        <w:trPr>
          <w:trHeight w:val="546" w:hRule="atLeast"/>
        </w:trPr>
        <w:tc>
          <w:tcPr>
            <w:tcW w:w="108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2</w:t>
            </w:r>
          </w:p>
        </w:tc>
        <w:tc>
          <w:tcPr>
            <w:tcW w:w="2250" w:type="dxa"/>
            <w:tcBorders>
              <w:top w:val="nil"/>
              <w:left w:val="nil"/>
              <w:bottom w:val="single" w:color="000000" w:sz="8" w:space="0"/>
              <w:right w:val="single" w:color="000000" w:sz="8" w:space="0"/>
            </w:tcBorders>
            <w:tcMar>
              <w:top w:w="15" w:type="dxa"/>
              <w:left w:w="15" w:type="dxa"/>
              <w:right w:w="15" w:type="dxa"/>
            </w:tcMar>
            <w:vAlign w:val="center"/>
          </w:tcPr>
          <w:p>
            <w:pPr>
              <w:widowControl/>
              <w:textAlignment w:val="center"/>
              <w:rPr>
                <w:rFonts w:hint="eastAsia" w:ascii="宋体" w:hAnsi="宋体" w:cs="宋体"/>
                <w:color w:val="auto"/>
                <w:sz w:val="24"/>
              </w:rPr>
            </w:pPr>
            <w:r>
              <w:rPr>
                <w:rFonts w:hint="eastAsia" w:ascii="宋体" w:hAnsi="宋体" w:cs="宋体"/>
                <w:color w:val="auto"/>
                <w:kern w:val="0"/>
                <w:sz w:val="24"/>
              </w:rPr>
              <w:t>对个人和家庭的补助</w:t>
            </w:r>
          </w:p>
        </w:tc>
        <w:tc>
          <w:tcPr>
            <w:tcW w:w="2070" w:type="dxa"/>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805,953.00</w:t>
            </w:r>
          </w:p>
        </w:tc>
        <w:tc>
          <w:tcPr>
            <w:tcW w:w="2217" w:type="dxa"/>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805,953.00</w:t>
            </w:r>
          </w:p>
        </w:tc>
        <w:tc>
          <w:tcPr>
            <w:tcW w:w="1968" w:type="dxa"/>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0</w:t>
            </w:r>
          </w:p>
        </w:tc>
      </w:tr>
      <w:tr>
        <w:tblPrEx>
          <w:tblLayout w:type="fixed"/>
          <w:tblCellMar>
            <w:top w:w="0" w:type="dxa"/>
            <w:left w:w="0" w:type="dxa"/>
            <w:bottom w:w="0" w:type="dxa"/>
            <w:right w:w="0" w:type="dxa"/>
          </w:tblCellMar>
        </w:tblPrEx>
        <w:trPr>
          <w:trHeight w:val="557" w:hRule="atLeast"/>
        </w:trPr>
        <w:tc>
          <w:tcPr>
            <w:tcW w:w="108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3</w:t>
            </w:r>
          </w:p>
        </w:tc>
        <w:tc>
          <w:tcPr>
            <w:tcW w:w="2250" w:type="dxa"/>
            <w:tcBorders>
              <w:top w:val="nil"/>
              <w:left w:val="nil"/>
              <w:bottom w:val="single" w:color="000000" w:sz="8" w:space="0"/>
              <w:right w:val="single" w:color="000000" w:sz="8" w:space="0"/>
            </w:tcBorders>
            <w:tcMar>
              <w:top w:w="15" w:type="dxa"/>
              <w:left w:w="15" w:type="dxa"/>
              <w:right w:w="15" w:type="dxa"/>
            </w:tcMar>
            <w:vAlign w:val="center"/>
          </w:tcPr>
          <w:p>
            <w:pPr>
              <w:widowControl/>
              <w:textAlignment w:val="center"/>
              <w:rPr>
                <w:rFonts w:hint="eastAsia" w:ascii="宋体" w:hAnsi="宋体" w:cs="宋体"/>
                <w:color w:val="auto"/>
                <w:sz w:val="24"/>
              </w:rPr>
            </w:pPr>
            <w:r>
              <w:rPr>
                <w:rFonts w:hint="eastAsia" w:ascii="宋体" w:hAnsi="宋体" w:cs="宋体"/>
                <w:color w:val="auto"/>
                <w:kern w:val="0"/>
                <w:sz w:val="24"/>
              </w:rPr>
              <w:t>商品和服务支出</w:t>
            </w:r>
          </w:p>
        </w:tc>
        <w:tc>
          <w:tcPr>
            <w:tcW w:w="2070" w:type="dxa"/>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4,819,029.50</w:t>
            </w:r>
          </w:p>
        </w:tc>
        <w:tc>
          <w:tcPr>
            <w:tcW w:w="2217" w:type="dxa"/>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4,819,029.50</w:t>
            </w:r>
          </w:p>
        </w:tc>
        <w:tc>
          <w:tcPr>
            <w:tcW w:w="1968" w:type="dxa"/>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0</w:t>
            </w:r>
          </w:p>
        </w:tc>
      </w:tr>
      <w:tr>
        <w:tblPrEx>
          <w:tblLayout w:type="fixed"/>
          <w:tblCellMar>
            <w:top w:w="0" w:type="dxa"/>
            <w:left w:w="0" w:type="dxa"/>
            <w:bottom w:w="0" w:type="dxa"/>
            <w:right w:w="0" w:type="dxa"/>
          </w:tblCellMar>
        </w:tblPrEx>
        <w:trPr>
          <w:trHeight w:val="511" w:hRule="atLeast"/>
        </w:trPr>
        <w:tc>
          <w:tcPr>
            <w:tcW w:w="108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4</w:t>
            </w:r>
          </w:p>
        </w:tc>
        <w:tc>
          <w:tcPr>
            <w:tcW w:w="2250" w:type="dxa"/>
            <w:tcBorders>
              <w:top w:val="nil"/>
              <w:left w:val="nil"/>
              <w:bottom w:val="single" w:color="000000" w:sz="8" w:space="0"/>
              <w:right w:val="single" w:color="000000" w:sz="8" w:space="0"/>
            </w:tcBorders>
            <w:tcMar>
              <w:top w:w="15" w:type="dxa"/>
              <w:left w:w="15" w:type="dxa"/>
              <w:right w:w="15" w:type="dxa"/>
            </w:tcMar>
            <w:vAlign w:val="center"/>
          </w:tcPr>
          <w:p>
            <w:pPr>
              <w:widowControl/>
              <w:textAlignment w:val="center"/>
              <w:rPr>
                <w:rFonts w:hint="eastAsia" w:ascii="宋体" w:hAnsi="宋体" w:cs="宋体"/>
                <w:color w:val="auto"/>
                <w:sz w:val="24"/>
              </w:rPr>
            </w:pPr>
            <w:r>
              <w:rPr>
                <w:rFonts w:hint="eastAsia" w:ascii="宋体" w:hAnsi="宋体" w:cs="宋体"/>
                <w:color w:val="auto"/>
                <w:kern w:val="0"/>
                <w:sz w:val="24"/>
              </w:rPr>
              <w:t>固定资产折旧费</w:t>
            </w:r>
          </w:p>
        </w:tc>
        <w:tc>
          <w:tcPr>
            <w:tcW w:w="2070" w:type="dxa"/>
            <w:tcBorders>
              <w:top w:val="nil"/>
              <w:left w:val="nil"/>
              <w:bottom w:val="single" w:color="000000" w:sz="8" w:space="0"/>
              <w:right w:val="single" w:color="000000" w:sz="8" w:space="0"/>
            </w:tcBorders>
            <w:tcMar>
              <w:top w:w="15" w:type="dxa"/>
              <w:left w:w="15" w:type="dxa"/>
              <w:right w:w="15" w:type="dxa"/>
            </w:tcMar>
            <w:vAlign w:val="center"/>
          </w:tcPr>
          <w:p>
            <w:pPr>
              <w:jc w:val="center"/>
              <w:rPr>
                <w:rFonts w:hint="eastAsia" w:ascii="宋体" w:hAnsi="宋体" w:cs="宋体"/>
                <w:color w:val="auto"/>
                <w:sz w:val="24"/>
              </w:rPr>
            </w:pPr>
          </w:p>
        </w:tc>
        <w:tc>
          <w:tcPr>
            <w:tcW w:w="2217" w:type="dxa"/>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603,018.01</w:t>
            </w:r>
          </w:p>
        </w:tc>
        <w:tc>
          <w:tcPr>
            <w:tcW w:w="1968" w:type="dxa"/>
            <w:tcBorders>
              <w:top w:val="nil"/>
              <w:left w:val="nil"/>
              <w:bottom w:val="single" w:color="000000" w:sz="8" w:space="0"/>
              <w:right w:val="single" w:color="000000" w:sz="8" w:space="0"/>
            </w:tcBorders>
            <w:tcMar>
              <w:top w:w="15" w:type="dxa"/>
              <w:left w:w="15" w:type="dxa"/>
              <w:right w:w="15" w:type="dxa"/>
            </w:tcMar>
            <w:vAlign w:val="center"/>
          </w:tcPr>
          <w:p>
            <w:pPr>
              <w:widowControl/>
              <w:textAlignment w:val="center"/>
              <w:rPr>
                <w:rFonts w:hint="eastAsia" w:ascii="宋体" w:hAnsi="宋体" w:cs="宋体"/>
                <w:color w:val="auto"/>
                <w:sz w:val="24"/>
              </w:rPr>
            </w:pPr>
            <w:r>
              <w:rPr>
                <w:rFonts w:hint="eastAsia" w:ascii="宋体" w:hAnsi="宋体" w:cs="宋体"/>
                <w:color w:val="auto"/>
                <w:kern w:val="0"/>
                <w:sz w:val="24"/>
              </w:rPr>
              <w:t xml:space="preserve"> -603,018.01 </w:t>
            </w:r>
          </w:p>
        </w:tc>
      </w:tr>
      <w:tr>
        <w:tblPrEx>
          <w:tblLayout w:type="fixed"/>
          <w:tblCellMar>
            <w:top w:w="0" w:type="dxa"/>
            <w:left w:w="0" w:type="dxa"/>
            <w:bottom w:w="0" w:type="dxa"/>
            <w:right w:w="0" w:type="dxa"/>
          </w:tblCellMar>
        </w:tblPrEx>
        <w:trPr>
          <w:trHeight w:val="543" w:hRule="atLeast"/>
        </w:trPr>
        <w:tc>
          <w:tcPr>
            <w:tcW w:w="108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rPr>
                <w:rFonts w:hint="eastAsia" w:ascii="宋体" w:hAnsi="宋体" w:cs="宋体"/>
                <w:color w:val="auto"/>
                <w:sz w:val="24"/>
              </w:rPr>
            </w:pPr>
          </w:p>
        </w:tc>
        <w:tc>
          <w:tcPr>
            <w:tcW w:w="2250" w:type="dxa"/>
            <w:tcBorders>
              <w:top w:val="nil"/>
              <w:left w:val="nil"/>
              <w:bottom w:val="single" w:color="000000" w:sz="8" w:space="0"/>
              <w:right w:val="single" w:color="000000" w:sz="8" w:space="0"/>
            </w:tcBorders>
            <w:tcMar>
              <w:top w:w="15" w:type="dxa"/>
              <w:left w:w="15" w:type="dxa"/>
              <w:right w:w="15" w:type="dxa"/>
            </w:tcMar>
            <w:vAlign w:val="center"/>
          </w:tcPr>
          <w:p>
            <w:pPr>
              <w:widowControl/>
              <w:textAlignment w:val="center"/>
              <w:rPr>
                <w:rFonts w:hint="eastAsia" w:ascii="宋体" w:hAnsi="宋体" w:cs="宋体"/>
                <w:color w:val="auto"/>
                <w:sz w:val="24"/>
              </w:rPr>
            </w:pPr>
            <w:r>
              <w:rPr>
                <w:rFonts w:hint="eastAsia" w:ascii="宋体" w:hAnsi="宋体" w:cs="宋体"/>
                <w:color w:val="auto"/>
                <w:kern w:val="0"/>
                <w:sz w:val="24"/>
              </w:rPr>
              <w:t>合   计</w:t>
            </w:r>
          </w:p>
        </w:tc>
        <w:tc>
          <w:tcPr>
            <w:tcW w:w="2070" w:type="dxa"/>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31,132,746.66</w:t>
            </w:r>
          </w:p>
        </w:tc>
        <w:tc>
          <w:tcPr>
            <w:tcW w:w="2217" w:type="dxa"/>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31,735,764.67</w:t>
            </w:r>
          </w:p>
        </w:tc>
        <w:tc>
          <w:tcPr>
            <w:tcW w:w="1968" w:type="dxa"/>
            <w:tcBorders>
              <w:top w:val="nil"/>
              <w:left w:val="nil"/>
              <w:bottom w:val="single" w:color="000000" w:sz="8" w:space="0"/>
              <w:right w:val="single" w:color="000000" w:sz="8" w:space="0"/>
            </w:tcBorders>
            <w:tcMar>
              <w:top w:w="15" w:type="dxa"/>
              <w:left w:w="15" w:type="dxa"/>
              <w:right w:w="15" w:type="dxa"/>
            </w:tcMar>
            <w:vAlign w:val="center"/>
          </w:tcPr>
          <w:p>
            <w:pPr>
              <w:widowControl/>
              <w:textAlignment w:val="center"/>
              <w:rPr>
                <w:rFonts w:ascii="宋体" w:hAnsi="宋体" w:cs="宋体"/>
                <w:color w:val="auto"/>
                <w:sz w:val="24"/>
              </w:rPr>
            </w:pPr>
            <w:r>
              <w:rPr>
                <w:rFonts w:hint="eastAsia" w:ascii="宋体" w:hAnsi="宋体" w:cs="宋体"/>
                <w:color w:val="auto"/>
                <w:kern w:val="0"/>
                <w:sz w:val="24"/>
              </w:rPr>
              <w:t xml:space="preserve"> -603,018.01 </w:t>
            </w:r>
          </w:p>
        </w:tc>
      </w:tr>
    </w:tbl>
    <w:p>
      <w:pPr>
        <w:spacing w:line="440" w:lineRule="exact"/>
        <w:ind w:firstLine="420" w:firstLineChars="150"/>
        <w:rPr>
          <w:rFonts w:hint="eastAsia" w:ascii="宋体" w:hAnsi="宋体"/>
          <w:bCs/>
          <w:color w:val="auto"/>
          <w:sz w:val="28"/>
          <w:szCs w:val="28"/>
        </w:rPr>
      </w:pPr>
      <w:r>
        <w:rPr>
          <w:rFonts w:hint="eastAsia" w:ascii="宋体" w:hAnsi="宋体"/>
          <w:bCs/>
          <w:color w:val="auto"/>
          <w:sz w:val="28"/>
          <w:szCs w:val="28"/>
        </w:rPr>
        <w:t>注：差异原因为折旧费没有纳入预算金额中。</w:t>
      </w:r>
    </w:p>
    <w:p>
      <w:pPr>
        <w:spacing w:line="440" w:lineRule="exact"/>
        <w:ind w:firstLine="420" w:firstLineChars="150"/>
        <w:rPr>
          <w:rFonts w:hint="eastAsia" w:ascii="宋体" w:hAnsi="宋体"/>
          <w:bCs/>
          <w:color w:val="auto"/>
          <w:sz w:val="28"/>
          <w:szCs w:val="28"/>
        </w:rPr>
      </w:pPr>
      <w:r>
        <w:rPr>
          <w:rFonts w:hint="eastAsia" w:ascii="宋体" w:hAnsi="宋体"/>
          <w:bCs/>
          <w:color w:val="auto"/>
          <w:sz w:val="28"/>
          <w:szCs w:val="28"/>
        </w:rPr>
        <w:t xml:space="preserve"> 1.2、三公经费情况</w:t>
      </w:r>
    </w:p>
    <w:tbl>
      <w:tblPr>
        <w:tblStyle w:val="5"/>
        <w:tblW w:w="9860" w:type="dxa"/>
        <w:tblInd w:w="0" w:type="dxa"/>
        <w:tblLayout w:type="fixed"/>
        <w:tblCellMar>
          <w:top w:w="0" w:type="dxa"/>
          <w:left w:w="0" w:type="dxa"/>
          <w:bottom w:w="0" w:type="dxa"/>
          <w:right w:w="0" w:type="dxa"/>
        </w:tblCellMar>
      </w:tblPr>
      <w:tblGrid>
        <w:gridCol w:w="2260"/>
        <w:gridCol w:w="2140"/>
        <w:gridCol w:w="1925"/>
        <w:gridCol w:w="1815"/>
        <w:gridCol w:w="1720"/>
      </w:tblGrid>
      <w:tr>
        <w:tblPrEx>
          <w:tblLayout w:type="fixed"/>
          <w:tblCellMar>
            <w:top w:w="0" w:type="dxa"/>
            <w:left w:w="0" w:type="dxa"/>
            <w:bottom w:w="0" w:type="dxa"/>
            <w:right w:w="0" w:type="dxa"/>
          </w:tblCellMar>
        </w:tblPrEx>
        <w:trPr>
          <w:trHeight w:val="375" w:hRule="atLeast"/>
        </w:trPr>
        <w:tc>
          <w:tcPr>
            <w:tcW w:w="9860" w:type="dxa"/>
            <w:gridSpan w:val="5"/>
            <w:tcBorders>
              <w:top w:val="nil"/>
              <w:left w:val="nil"/>
              <w:bottom w:val="nil"/>
              <w:right w:val="nil"/>
            </w:tcBorders>
            <w:noWrap/>
            <w:tcMar>
              <w:top w:w="15" w:type="dxa"/>
              <w:left w:w="15" w:type="dxa"/>
              <w:right w:w="15" w:type="dxa"/>
            </w:tcMar>
            <w:vAlign w:val="center"/>
          </w:tcPr>
          <w:p>
            <w:pPr>
              <w:widowControl/>
              <w:wordWrap w:val="0"/>
              <w:spacing w:before="100" w:beforeAutospacing="1" w:after="100" w:afterAutospacing="1" w:line="440" w:lineRule="exact"/>
              <w:ind w:firstLine="560" w:firstLineChars="200"/>
              <w:jc w:val="left"/>
              <w:rPr>
                <w:rFonts w:hint="eastAsia" w:ascii="宋体" w:hAnsi="宋体" w:cs="宋体"/>
                <w:color w:val="auto"/>
                <w:sz w:val="28"/>
                <w:szCs w:val="28"/>
              </w:rPr>
            </w:pPr>
            <w:r>
              <w:rPr>
                <w:rFonts w:hint="eastAsia" w:ascii="宋体" w:hAnsi="宋体"/>
                <w:bCs/>
                <w:color w:val="auto"/>
                <w:sz w:val="28"/>
                <w:szCs w:val="28"/>
              </w:rPr>
              <w:t xml:space="preserve"> </w:t>
            </w:r>
            <w:r>
              <w:rPr>
                <w:rFonts w:hint="eastAsia" w:ascii="宋体" w:hAnsi="宋体" w:cs="宋体"/>
                <w:bCs/>
                <w:color w:val="auto"/>
                <w:kern w:val="0"/>
                <w:sz w:val="28"/>
                <w:szCs w:val="28"/>
              </w:rPr>
              <w:t>1.2.1．</w:t>
            </w:r>
            <w:r>
              <w:rPr>
                <w:rFonts w:hint="eastAsia" w:ascii="宋体" w:hAnsi="宋体" w:cs="宋体"/>
                <w:color w:val="auto"/>
                <w:kern w:val="0"/>
                <w:sz w:val="28"/>
                <w:szCs w:val="28"/>
              </w:rPr>
              <w:t>2020年度 “三公经费”预算、决算执行情况     单位：元</w:t>
            </w:r>
          </w:p>
        </w:tc>
      </w:tr>
      <w:tr>
        <w:tblPrEx>
          <w:tblLayout w:type="fixed"/>
          <w:tblCellMar>
            <w:top w:w="0" w:type="dxa"/>
            <w:left w:w="0" w:type="dxa"/>
            <w:bottom w:w="0" w:type="dxa"/>
            <w:right w:w="0" w:type="dxa"/>
          </w:tblCellMar>
        </w:tblPrEx>
        <w:trPr>
          <w:trHeight w:val="391" w:hRule="atLeast"/>
        </w:trPr>
        <w:tc>
          <w:tcPr>
            <w:tcW w:w="22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auto"/>
              <w:jc w:val="center"/>
              <w:textAlignment w:val="center"/>
              <w:rPr>
                <w:rFonts w:hint="eastAsia" w:ascii="宋体" w:hAnsi="宋体" w:cs="宋体"/>
                <w:color w:val="auto"/>
                <w:sz w:val="24"/>
              </w:rPr>
            </w:pPr>
            <w:r>
              <w:rPr>
                <w:rFonts w:hint="eastAsia" w:ascii="宋体" w:hAnsi="宋体" w:cs="宋体"/>
                <w:color w:val="auto"/>
                <w:kern w:val="0"/>
                <w:sz w:val="24"/>
              </w:rPr>
              <w:t>项目</w:t>
            </w:r>
          </w:p>
        </w:tc>
        <w:tc>
          <w:tcPr>
            <w:tcW w:w="214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60" w:lineRule="auto"/>
              <w:jc w:val="center"/>
              <w:textAlignment w:val="center"/>
              <w:rPr>
                <w:rFonts w:hint="eastAsia" w:ascii="宋体" w:hAnsi="宋体" w:cs="宋体"/>
                <w:color w:val="auto"/>
                <w:sz w:val="24"/>
              </w:rPr>
            </w:pPr>
            <w:r>
              <w:rPr>
                <w:rFonts w:hint="eastAsia" w:ascii="宋体" w:hAnsi="宋体" w:cs="宋体"/>
                <w:color w:val="auto"/>
                <w:kern w:val="0"/>
                <w:sz w:val="24"/>
              </w:rPr>
              <w:t>预算数</w:t>
            </w:r>
          </w:p>
        </w:tc>
        <w:tc>
          <w:tcPr>
            <w:tcW w:w="192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60" w:lineRule="auto"/>
              <w:jc w:val="center"/>
              <w:textAlignment w:val="center"/>
              <w:rPr>
                <w:rFonts w:hint="eastAsia" w:ascii="宋体" w:hAnsi="宋体" w:cs="宋体"/>
                <w:color w:val="auto"/>
                <w:sz w:val="24"/>
              </w:rPr>
            </w:pPr>
            <w:r>
              <w:rPr>
                <w:rFonts w:hint="eastAsia" w:ascii="宋体" w:hAnsi="宋体" w:cs="宋体"/>
                <w:color w:val="auto"/>
                <w:kern w:val="0"/>
                <w:sz w:val="24"/>
              </w:rPr>
              <w:t>决算数</w:t>
            </w:r>
          </w:p>
        </w:tc>
        <w:tc>
          <w:tcPr>
            <w:tcW w:w="181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60" w:lineRule="auto"/>
              <w:jc w:val="center"/>
              <w:textAlignment w:val="center"/>
              <w:rPr>
                <w:rFonts w:hint="eastAsia" w:ascii="宋体" w:hAnsi="宋体" w:cs="宋体"/>
                <w:color w:val="auto"/>
                <w:sz w:val="24"/>
              </w:rPr>
            </w:pPr>
            <w:r>
              <w:rPr>
                <w:rFonts w:hint="eastAsia" w:ascii="宋体" w:hAnsi="宋体" w:cs="宋体"/>
                <w:color w:val="auto"/>
                <w:kern w:val="0"/>
                <w:sz w:val="24"/>
              </w:rPr>
              <w:t>决算比预算减少</w:t>
            </w:r>
          </w:p>
        </w:tc>
        <w:tc>
          <w:tcPr>
            <w:tcW w:w="172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60" w:lineRule="auto"/>
              <w:jc w:val="center"/>
              <w:textAlignment w:val="center"/>
              <w:rPr>
                <w:rFonts w:hint="eastAsia" w:ascii="宋体" w:hAnsi="宋体" w:cs="宋体"/>
                <w:color w:val="auto"/>
                <w:sz w:val="24"/>
              </w:rPr>
            </w:pPr>
            <w:r>
              <w:rPr>
                <w:rFonts w:hint="eastAsia" w:ascii="宋体" w:hAnsi="宋体" w:cs="宋体"/>
                <w:color w:val="auto"/>
                <w:kern w:val="0"/>
                <w:sz w:val="24"/>
              </w:rPr>
              <w:t>控制率%</w:t>
            </w:r>
          </w:p>
        </w:tc>
      </w:tr>
      <w:tr>
        <w:tblPrEx>
          <w:tblLayout w:type="fixed"/>
          <w:tblCellMar>
            <w:top w:w="0" w:type="dxa"/>
            <w:left w:w="0" w:type="dxa"/>
            <w:bottom w:w="0" w:type="dxa"/>
            <w:right w:w="0" w:type="dxa"/>
          </w:tblCellMar>
        </w:tblPrEx>
        <w:trPr>
          <w:trHeight w:val="285" w:hRule="atLeast"/>
        </w:trPr>
        <w:tc>
          <w:tcPr>
            <w:tcW w:w="2260"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auto"/>
              <w:jc w:val="center"/>
              <w:textAlignment w:val="center"/>
              <w:rPr>
                <w:rFonts w:hint="eastAsia" w:ascii="宋体" w:hAnsi="宋体" w:cs="宋体"/>
                <w:color w:val="auto"/>
                <w:sz w:val="24"/>
              </w:rPr>
            </w:pPr>
            <w:r>
              <w:rPr>
                <w:rFonts w:hint="eastAsia" w:ascii="宋体" w:hAnsi="宋体" w:cs="宋体"/>
                <w:color w:val="auto"/>
                <w:kern w:val="0"/>
                <w:sz w:val="24"/>
              </w:rPr>
              <w:t>公务接待费</w:t>
            </w:r>
          </w:p>
        </w:tc>
        <w:tc>
          <w:tcPr>
            <w:tcW w:w="214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 xml:space="preserve">820,000.00 </w:t>
            </w:r>
          </w:p>
        </w:tc>
        <w:tc>
          <w:tcPr>
            <w:tcW w:w="192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 xml:space="preserve">62,769.85 </w:t>
            </w:r>
          </w:p>
        </w:tc>
        <w:tc>
          <w:tcPr>
            <w:tcW w:w="181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 xml:space="preserve">-757,230.15 </w:t>
            </w:r>
          </w:p>
        </w:tc>
        <w:tc>
          <w:tcPr>
            <w:tcW w:w="1720"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hint="eastAsia" w:ascii="宋体" w:hAnsi="宋体" w:cs="宋体"/>
                <w:color w:val="auto"/>
                <w:sz w:val="24"/>
              </w:rPr>
            </w:pPr>
          </w:p>
        </w:tc>
      </w:tr>
      <w:tr>
        <w:tblPrEx>
          <w:tblLayout w:type="fixed"/>
          <w:tblCellMar>
            <w:top w:w="0" w:type="dxa"/>
            <w:left w:w="0" w:type="dxa"/>
            <w:bottom w:w="0" w:type="dxa"/>
            <w:right w:w="0" w:type="dxa"/>
          </w:tblCellMar>
        </w:tblPrEx>
        <w:trPr>
          <w:trHeight w:val="285" w:hRule="atLeast"/>
        </w:trPr>
        <w:tc>
          <w:tcPr>
            <w:tcW w:w="2260"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auto"/>
              <w:jc w:val="center"/>
              <w:textAlignment w:val="center"/>
              <w:rPr>
                <w:rFonts w:hint="eastAsia" w:ascii="宋体" w:hAnsi="宋体" w:cs="宋体"/>
                <w:color w:val="auto"/>
                <w:sz w:val="24"/>
              </w:rPr>
            </w:pPr>
            <w:r>
              <w:rPr>
                <w:rFonts w:hint="eastAsia" w:ascii="宋体" w:hAnsi="宋体" w:cs="宋体"/>
                <w:color w:val="auto"/>
                <w:kern w:val="0"/>
                <w:sz w:val="24"/>
              </w:rPr>
              <w:t>公务用车运行维护费</w:t>
            </w:r>
          </w:p>
        </w:tc>
        <w:tc>
          <w:tcPr>
            <w:tcW w:w="214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 xml:space="preserve">0.00 </w:t>
            </w:r>
          </w:p>
        </w:tc>
        <w:tc>
          <w:tcPr>
            <w:tcW w:w="192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 xml:space="preserve">21,514.87 </w:t>
            </w:r>
          </w:p>
        </w:tc>
        <w:tc>
          <w:tcPr>
            <w:tcW w:w="181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 xml:space="preserve">21,514.87 </w:t>
            </w:r>
          </w:p>
        </w:tc>
        <w:tc>
          <w:tcPr>
            <w:tcW w:w="1720"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hint="eastAsia" w:ascii="宋体" w:hAnsi="宋体" w:cs="宋体"/>
                <w:color w:val="auto"/>
                <w:sz w:val="24"/>
              </w:rPr>
            </w:pPr>
          </w:p>
        </w:tc>
      </w:tr>
      <w:tr>
        <w:tblPrEx>
          <w:tblLayout w:type="fixed"/>
          <w:tblCellMar>
            <w:top w:w="0" w:type="dxa"/>
            <w:left w:w="0" w:type="dxa"/>
            <w:bottom w:w="0" w:type="dxa"/>
            <w:right w:w="0" w:type="dxa"/>
          </w:tblCellMar>
        </w:tblPrEx>
        <w:trPr>
          <w:trHeight w:val="285" w:hRule="atLeast"/>
        </w:trPr>
        <w:tc>
          <w:tcPr>
            <w:tcW w:w="2260"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auto"/>
              <w:jc w:val="center"/>
              <w:textAlignment w:val="center"/>
              <w:rPr>
                <w:rFonts w:hint="eastAsia" w:ascii="宋体" w:hAnsi="宋体" w:cs="宋体"/>
                <w:color w:val="auto"/>
                <w:sz w:val="24"/>
              </w:rPr>
            </w:pPr>
            <w:r>
              <w:rPr>
                <w:rFonts w:hint="eastAsia" w:ascii="宋体" w:hAnsi="宋体" w:cs="宋体"/>
                <w:color w:val="auto"/>
                <w:kern w:val="0"/>
                <w:sz w:val="24"/>
              </w:rPr>
              <w:t>公务用车购置</w:t>
            </w:r>
          </w:p>
        </w:tc>
        <w:tc>
          <w:tcPr>
            <w:tcW w:w="214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 xml:space="preserve">0.00 </w:t>
            </w:r>
          </w:p>
        </w:tc>
        <w:tc>
          <w:tcPr>
            <w:tcW w:w="192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 xml:space="preserve">0.00 </w:t>
            </w:r>
          </w:p>
        </w:tc>
        <w:tc>
          <w:tcPr>
            <w:tcW w:w="181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 xml:space="preserve">0.00 </w:t>
            </w:r>
          </w:p>
        </w:tc>
        <w:tc>
          <w:tcPr>
            <w:tcW w:w="1720"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hint="eastAsia" w:ascii="宋体" w:hAnsi="宋体" w:cs="宋体"/>
                <w:color w:val="auto"/>
                <w:sz w:val="24"/>
              </w:rPr>
            </w:pPr>
          </w:p>
        </w:tc>
      </w:tr>
      <w:tr>
        <w:tblPrEx>
          <w:tblLayout w:type="fixed"/>
          <w:tblCellMar>
            <w:top w:w="0" w:type="dxa"/>
            <w:left w:w="0" w:type="dxa"/>
            <w:bottom w:w="0" w:type="dxa"/>
            <w:right w:w="0" w:type="dxa"/>
          </w:tblCellMar>
        </w:tblPrEx>
        <w:trPr>
          <w:trHeight w:val="285" w:hRule="atLeast"/>
        </w:trPr>
        <w:tc>
          <w:tcPr>
            <w:tcW w:w="2260" w:type="dxa"/>
            <w:tcBorders>
              <w:top w:val="nil"/>
              <w:left w:val="single" w:color="auto" w:sz="4" w:space="0"/>
              <w:bottom w:val="single" w:color="auto" w:sz="4" w:space="0"/>
              <w:right w:val="single" w:color="auto" w:sz="4" w:space="0"/>
            </w:tcBorders>
            <w:tcMar>
              <w:top w:w="15" w:type="dxa"/>
              <w:left w:w="15" w:type="dxa"/>
              <w:right w:w="15" w:type="dxa"/>
            </w:tcMar>
          </w:tcPr>
          <w:p>
            <w:pPr>
              <w:widowControl/>
              <w:spacing w:line="360" w:lineRule="auto"/>
              <w:jc w:val="center"/>
              <w:textAlignment w:val="top"/>
              <w:rPr>
                <w:rFonts w:hint="eastAsia" w:ascii="宋体" w:hAnsi="宋体" w:cs="宋体"/>
                <w:color w:val="auto"/>
                <w:sz w:val="24"/>
              </w:rPr>
            </w:pPr>
            <w:r>
              <w:rPr>
                <w:rFonts w:hint="eastAsia" w:ascii="宋体" w:hAnsi="宋体" w:cs="宋体"/>
                <w:color w:val="auto"/>
                <w:kern w:val="0"/>
                <w:sz w:val="24"/>
              </w:rPr>
              <w:t>因公出国（境）费用</w:t>
            </w:r>
          </w:p>
        </w:tc>
        <w:tc>
          <w:tcPr>
            <w:tcW w:w="214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 xml:space="preserve">0.00 </w:t>
            </w:r>
          </w:p>
        </w:tc>
        <w:tc>
          <w:tcPr>
            <w:tcW w:w="192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 xml:space="preserve">0.00 </w:t>
            </w:r>
          </w:p>
        </w:tc>
        <w:tc>
          <w:tcPr>
            <w:tcW w:w="181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 xml:space="preserve">0.00 </w:t>
            </w:r>
          </w:p>
        </w:tc>
        <w:tc>
          <w:tcPr>
            <w:tcW w:w="1720"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hint="eastAsia" w:ascii="宋体" w:hAnsi="宋体" w:cs="宋体"/>
                <w:color w:val="auto"/>
                <w:sz w:val="24"/>
              </w:rPr>
            </w:pPr>
          </w:p>
        </w:tc>
      </w:tr>
      <w:tr>
        <w:tblPrEx>
          <w:tblLayout w:type="fixed"/>
          <w:tblCellMar>
            <w:top w:w="0" w:type="dxa"/>
            <w:left w:w="0" w:type="dxa"/>
            <w:bottom w:w="0" w:type="dxa"/>
            <w:right w:w="0" w:type="dxa"/>
          </w:tblCellMar>
        </w:tblPrEx>
        <w:trPr>
          <w:trHeight w:val="285" w:hRule="atLeast"/>
        </w:trPr>
        <w:tc>
          <w:tcPr>
            <w:tcW w:w="2260" w:type="dxa"/>
            <w:tcBorders>
              <w:top w:val="nil"/>
              <w:left w:val="single" w:color="auto" w:sz="4" w:space="0"/>
              <w:bottom w:val="single" w:color="auto" w:sz="4" w:space="0"/>
              <w:right w:val="single" w:color="auto" w:sz="4" w:space="0"/>
            </w:tcBorders>
            <w:tcMar>
              <w:top w:w="15" w:type="dxa"/>
              <w:left w:w="15" w:type="dxa"/>
              <w:right w:w="15" w:type="dxa"/>
            </w:tcMar>
          </w:tcPr>
          <w:p>
            <w:pPr>
              <w:widowControl/>
              <w:spacing w:line="360" w:lineRule="auto"/>
              <w:jc w:val="center"/>
              <w:textAlignment w:val="top"/>
              <w:rPr>
                <w:rFonts w:hint="eastAsia" w:ascii="宋体" w:hAnsi="宋体" w:cs="宋体"/>
                <w:color w:val="auto"/>
                <w:sz w:val="24"/>
              </w:rPr>
            </w:pPr>
            <w:r>
              <w:rPr>
                <w:rFonts w:hint="eastAsia" w:ascii="宋体" w:hAnsi="宋体" w:cs="宋体"/>
                <w:color w:val="auto"/>
                <w:kern w:val="0"/>
                <w:sz w:val="24"/>
              </w:rPr>
              <w:t>合计</w:t>
            </w:r>
          </w:p>
        </w:tc>
        <w:tc>
          <w:tcPr>
            <w:tcW w:w="214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 xml:space="preserve">820,000.00 </w:t>
            </w:r>
          </w:p>
        </w:tc>
        <w:tc>
          <w:tcPr>
            <w:tcW w:w="192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 xml:space="preserve">84,284.72 </w:t>
            </w:r>
          </w:p>
        </w:tc>
        <w:tc>
          <w:tcPr>
            <w:tcW w:w="181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 xml:space="preserve">-735,715.28 </w:t>
            </w:r>
          </w:p>
        </w:tc>
        <w:tc>
          <w:tcPr>
            <w:tcW w:w="1720"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ascii="宋体" w:hAnsi="宋体" w:cs="宋体"/>
                <w:color w:val="auto"/>
                <w:sz w:val="24"/>
              </w:rPr>
            </w:pPr>
            <w:r>
              <w:rPr>
                <w:rFonts w:hint="eastAsia" w:ascii="宋体" w:hAnsi="宋体" w:cs="宋体"/>
                <w:color w:val="auto"/>
                <w:sz w:val="24"/>
              </w:rPr>
              <w:t>10.28</w:t>
            </w:r>
          </w:p>
        </w:tc>
      </w:tr>
    </w:tbl>
    <w:p>
      <w:pPr>
        <w:widowControl/>
        <w:wordWrap w:val="0"/>
        <w:spacing w:before="100" w:beforeAutospacing="1" w:after="100" w:afterAutospacing="1" w:line="440" w:lineRule="exact"/>
        <w:ind w:firstLine="640"/>
        <w:jc w:val="left"/>
        <w:rPr>
          <w:rFonts w:hint="eastAsia" w:ascii="宋体" w:hAnsi="宋体" w:cs="宋体"/>
          <w:color w:val="auto"/>
          <w:kern w:val="0"/>
          <w:sz w:val="28"/>
          <w:szCs w:val="28"/>
        </w:rPr>
      </w:pPr>
      <w:r>
        <w:rPr>
          <w:rFonts w:hint="eastAsia" w:ascii="宋体" w:hAnsi="宋体" w:cs="宋体"/>
          <w:color w:val="auto"/>
          <w:kern w:val="0"/>
          <w:sz w:val="28"/>
          <w:szCs w:val="28"/>
        </w:rPr>
        <w:t>2020年度</w:t>
      </w:r>
      <w:r>
        <w:rPr>
          <w:rFonts w:hint="eastAsia" w:ascii="宋体" w:hAnsi="宋体"/>
          <w:color w:val="auto"/>
          <w:kern w:val="0"/>
          <w:sz w:val="28"/>
          <w:szCs w:val="28"/>
        </w:rPr>
        <w:t>“</w:t>
      </w:r>
      <w:r>
        <w:rPr>
          <w:rFonts w:hint="eastAsia" w:ascii="宋体" w:hAnsi="宋体" w:cs="宋体"/>
          <w:color w:val="auto"/>
          <w:kern w:val="0"/>
          <w:sz w:val="28"/>
          <w:szCs w:val="28"/>
        </w:rPr>
        <w:t>三公经费</w:t>
      </w:r>
      <w:r>
        <w:rPr>
          <w:rFonts w:hint="eastAsia" w:ascii="宋体" w:hAnsi="宋体"/>
          <w:color w:val="auto"/>
          <w:kern w:val="0"/>
          <w:sz w:val="28"/>
          <w:szCs w:val="28"/>
        </w:rPr>
        <w:t>”</w:t>
      </w:r>
      <w:r>
        <w:rPr>
          <w:rFonts w:hint="eastAsia" w:ascii="宋体" w:hAnsi="宋体" w:cs="宋体"/>
          <w:color w:val="auto"/>
          <w:kern w:val="0"/>
          <w:sz w:val="28"/>
          <w:szCs w:val="28"/>
        </w:rPr>
        <w:t>预算数82.00万元，决算数8.43万元，控制率10.28%。“三公经费</w:t>
      </w:r>
      <w:r>
        <w:rPr>
          <w:rFonts w:hint="eastAsia" w:ascii="宋体" w:hAnsi="宋体"/>
          <w:color w:val="auto"/>
          <w:kern w:val="0"/>
          <w:sz w:val="28"/>
          <w:szCs w:val="28"/>
        </w:rPr>
        <w:t>”</w:t>
      </w:r>
      <w:r>
        <w:rPr>
          <w:rFonts w:hint="eastAsia" w:ascii="宋体" w:hAnsi="宋体" w:cs="宋体"/>
          <w:color w:val="auto"/>
          <w:kern w:val="0"/>
          <w:sz w:val="28"/>
          <w:szCs w:val="28"/>
        </w:rPr>
        <w:t>决算数比预算数减少73.57万元，其中公务接待费支出减少</w:t>
      </w:r>
      <w:r>
        <w:rPr>
          <w:rFonts w:hint="eastAsia" w:ascii="宋体" w:hAnsi="宋体"/>
          <w:color w:val="auto"/>
          <w:kern w:val="0"/>
          <w:sz w:val="28"/>
          <w:szCs w:val="28"/>
        </w:rPr>
        <w:t>75.72</w:t>
      </w:r>
      <w:r>
        <w:rPr>
          <w:rFonts w:hint="eastAsia" w:ascii="宋体" w:hAnsi="宋体" w:cs="宋体"/>
          <w:color w:val="auto"/>
          <w:kern w:val="0"/>
          <w:sz w:val="28"/>
          <w:szCs w:val="28"/>
        </w:rPr>
        <w:t>万元，公务用车运行维护费支出增加</w:t>
      </w:r>
      <w:r>
        <w:rPr>
          <w:rFonts w:hint="eastAsia" w:ascii="宋体" w:hAnsi="宋体"/>
          <w:color w:val="auto"/>
          <w:kern w:val="0"/>
          <w:sz w:val="28"/>
          <w:szCs w:val="28"/>
        </w:rPr>
        <w:t>2.15</w:t>
      </w:r>
      <w:r>
        <w:rPr>
          <w:rFonts w:hint="eastAsia" w:ascii="宋体" w:hAnsi="宋体" w:cs="宋体"/>
          <w:color w:val="auto"/>
          <w:kern w:val="0"/>
          <w:sz w:val="28"/>
          <w:szCs w:val="28"/>
        </w:rPr>
        <w:t>万元，公务接待费支出减少主要是因为单位加强了公务接待管理，严格落实公函接待制度。公务用车运行维护费支出增加主要是因为年初没有安排预算指标，局机关一台车和乡镇所公务用车没有安排经费。公务用车购置预算为零，实际没有发生购置。出国支出为零主要是因为主管部门根据当年实际情况严格审批出国事项，取消了出访任务。</w:t>
      </w:r>
    </w:p>
    <w:tbl>
      <w:tblPr>
        <w:tblStyle w:val="5"/>
        <w:tblW w:w="9860" w:type="dxa"/>
        <w:tblInd w:w="0" w:type="dxa"/>
        <w:tblLayout w:type="fixed"/>
        <w:tblCellMar>
          <w:top w:w="0" w:type="dxa"/>
          <w:left w:w="0" w:type="dxa"/>
          <w:bottom w:w="0" w:type="dxa"/>
          <w:right w:w="0" w:type="dxa"/>
        </w:tblCellMar>
      </w:tblPr>
      <w:tblGrid>
        <w:gridCol w:w="2260"/>
        <w:gridCol w:w="1885"/>
        <w:gridCol w:w="2030"/>
        <w:gridCol w:w="1965"/>
        <w:gridCol w:w="1720"/>
      </w:tblGrid>
      <w:tr>
        <w:tblPrEx>
          <w:tblLayout w:type="fixed"/>
          <w:tblCellMar>
            <w:top w:w="0" w:type="dxa"/>
            <w:left w:w="0" w:type="dxa"/>
            <w:bottom w:w="0" w:type="dxa"/>
            <w:right w:w="0" w:type="dxa"/>
          </w:tblCellMar>
        </w:tblPrEx>
        <w:trPr>
          <w:trHeight w:val="375" w:hRule="atLeast"/>
        </w:trPr>
        <w:tc>
          <w:tcPr>
            <w:tcW w:w="9860" w:type="dxa"/>
            <w:gridSpan w:val="5"/>
            <w:tcBorders>
              <w:top w:val="nil"/>
              <w:left w:val="nil"/>
              <w:bottom w:val="nil"/>
              <w:right w:val="nil"/>
            </w:tcBorders>
            <w:noWrap/>
            <w:tcMar>
              <w:top w:w="15" w:type="dxa"/>
              <w:left w:w="15" w:type="dxa"/>
              <w:right w:w="15" w:type="dxa"/>
            </w:tcMar>
            <w:vAlign w:val="center"/>
          </w:tcPr>
          <w:p>
            <w:pPr>
              <w:widowControl/>
              <w:wordWrap w:val="0"/>
              <w:spacing w:before="100" w:beforeAutospacing="1" w:after="100" w:afterAutospacing="1" w:line="440" w:lineRule="exact"/>
              <w:ind w:firstLine="640"/>
              <w:jc w:val="left"/>
              <w:rPr>
                <w:rFonts w:hint="eastAsia" w:ascii="宋体" w:hAnsi="宋体" w:cs="宋体"/>
                <w:color w:val="auto"/>
                <w:sz w:val="28"/>
                <w:szCs w:val="28"/>
              </w:rPr>
            </w:pPr>
            <w:r>
              <w:rPr>
                <w:rFonts w:hint="eastAsia" w:ascii="宋体" w:hAnsi="宋体"/>
                <w:bCs/>
                <w:color w:val="auto"/>
                <w:sz w:val="28"/>
                <w:szCs w:val="28"/>
              </w:rPr>
              <w:t xml:space="preserve">1.2.2 </w:t>
            </w:r>
            <w:r>
              <w:rPr>
                <w:rFonts w:hint="eastAsia" w:ascii="宋体" w:hAnsi="宋体" w:cs="宋体"/>
                <w:color w:val="auto"/>
                <w:kern w:val="0"/>
                <w:sz w:val="28"/>
                <w:szCs w:val="28"/>
              </w:rPr>
              <w:t>与上年比较，“三公经费”控制情况            单位：元</w:t>
            </w:r>
          </w:p>
        </w:tc>
      </w:tr>
      <w:tr>
        <w:tblPrEx>
          <w:tblLayout w:type="fixed"/>
          <w:tblCellMar>
            <w:top w:w="0" w:type="dxa"/>
            <w:left w:w="0" w:type="dxa"/>
            <w:bottom w:w="0" w:type="dxa"/>
            <w:right w:w="0" w:type="dxa"/>
          </w:tblCellMar>
        </w:tblPrEx>
        <w:trPr>
          <w:trHeight w:val="406" w:hRule="atLeast"/>
        </w:trPr>
        <w:tc>
          <w:tcPr>
            <w:tcW w:w="22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auto"/>
              <w:jc w:val="center"/>
              <w:textAlignment w:val="top"/>
              <w:rPr>
                <w:rFonts w:hint="eastAsia" w:ascii="宋体" w:hAnsi="宋体" w:cs="宋体"/>
                <w:color w:val="auto"/>
                <w:sz w:val="24"/>
              </w:rPr>
            </w:pPr>
            <w:r>
              <w:rPr>
                <w:rFonts w:hint="eastAsia" w:ascii="宋体" w:hAnsi="宋体" w:cs="宋体"/>
                <w:color w:val="auto"/>
                <w:kern w:val="0"/>
                <w:sz w:val="24"/>
              </w:rPr>
              <w:t>项目</w:t>
            </w:r>
          </w:p>
        </w:tc>
        <w:tc>
          <w:tcPr>
            <w:tcW w:w="188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top"/>
              <w:rPr>
                <w:rFonts w:hint="eastAsia" w:ascii="宋体" w:hAnsi="宋体" w:cs="宋体"/>
                <w:color w:val="auto"/>
                <w:sz w:val="24"/>
              </w:rPr>
            </w:pPr>
            <w:r>
              <w:rPr>
                <w:rFonts w:hint="eastAsia" w:ascii="宋体" w:hAnsi="宋体" w:cs="宋体"/>
                <w:color w:val="auto"/>
                <w:kern w:val="0"/>
                <w:sz w:val="24"/>
              </w:rPr>
              <w:t>2019年决算数</w:t>
            </w:r>
          </w:p>
        </w:tc>
        <w:tc>
          <w:tcPr>
            <w:tcW w:w="203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top"/>
              <w:rPr>
                <w:rFonts w:hint="eastAsia" w:ascii="宋体" w:hAnsi="宋体" w:cs="宋体"/>
                <w:color w:val="auto"/>
                <w:sz w:val="24"/>
              </w:rPr>
            </w:pPr>
            <w:r>
              <w:rPr>
                <w:rFonts w:hint="eastAsia" w:ascii="宋体" w:hAnsi="宋体" w:cs="宋体"/>
                <w:color w:val="auto"/>
                <w:kern w:val="0"/>
                <w:sz w:val="24"/>
              </w:rPr>
              <w:t>本年决算数</w:t>
            </w:r>
          </w:p>
        </w:tc>
        <w:tc>
          <w:tcPr>
            <w:tcW w:w="196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top"/>
              <w:rPr>
                <w:rFonts w:hint="eastAsia" w:ascii="宋体" w:hAnsi="宋体" w:cs="宋体"/>
                <w:color w:val="auto"/>
                <w:sz w:val="24"/>
              </w:rPr>
            </w:pPr>
            <w:r>
              <w:rPr>
                <w:rFonts w:hint="eastAsia" w:ascii="宋体" w:hAnsi="宋体" w:cs="宋体"/>
                <w:color w:val="auto"/>
                <w:kern w:val="0"/>
                <w:sz w:val="24"/>
              </w:rPr>
              <w:t>决算比上年减少</w:t>
            </w:r>
          </w:p>
        </w:tc>
        <w:tc>
          <w:tcPr>
            <w:tcW w:w="172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jc w:val="center"/>
              <w:textAlignment w:val="top"/>
              <w:rPr>
                <w:rFonts w:hint="eastAsia" w:ascii="宋体" w:hAnsi="宋体" w:cs="宋体"/>
                <w:color w:val="auto"/>
                <w:sz w:val="24"/>
              </w:rPr>
            </w:pPr>
            <w:r>
              <w:rPr>
                <w:rFonts w:hint="eastAsia" w:ascii="宋体" w:hAnsi="宋体" w:cs="宋体"/>
                <w:color w:val="auto"/>
                <w:kern w:val="0"/>
                <w:sz w:val="24"/>
              </w:rPr>
              <w:t>变动比例%</w:t>
            </w:r>
          </w:p>
        </w:tc>
      </w:tr>
      <w:tr>
        <w:tblPrEx>
          <w:tblLayout w:type="fixed"/>
          <w:tblCellMar>
            <w:top w:w="0" w:type="dxa"/>
            <w:left w:w="0" w:type="dxa"/>
            <w:bottom w:w="0" w:type="dxa"/>
            <w:right w:w="0" w:type="dxa"/>
          </w:tblCellMar>
        </w:tblPrEx>
        <w:trPr>
          <w:trHeight w:val="285" w:hRule="atLeast"/>
        </w:trPr>
        <w:tc>
          <w:tcPr>
            <w:tcW w:w="2260"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auto"/>
              <w:jc w:val="center"/>
              <w:textAlignment w:val="center"/>
              <w:rPr>
                <w:rFonts w:hint="eastAsia" w:ascii="宋体" w:hAnsi="宋体" w:cs="宋体"/>
                <w:color w:val="auto"/>
                <w:sz w:val="24"/>
              </w:rPr>
            </w:pPr>
            <w:r>
              <w:rPr>
                <w:rFonts w:hint="eastAsia" w:ascii="宋体" w:hAnsi="宋体" w:cs="宋体"/>
                <w:color w:val="auto"/>
                <w:kern w:val="0"/>
                <w:sz w:val="24"/>
              </w:rPr>
              <w:t>公务接待费</w:t>
            </w:r>
          </w:p>
        </w:tc>
        <w:tc>
          <w:tcPr>
            <w:tcW w:w="188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 xml:space="preserve">220,870.00 </w:t>
            </w:r>
          </w:p>
        </w:tc>
        <w:tc>
          <w:tcPr>
            <w:tcW w:w="20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top"/>
              <w:rPr>
                <w:rFonts w:hint="eastAsia" w:ascii="宋体" w:hAnsi="宋体" w:cs="宋体"/>
                <w:color w:val="auto"/>
                <w:sz w:val="24"/>
              </w:rPr>
            </w:pPr>
            <w:r>
              <w:rPr>
                <w:rFonts w:hint="eastAsia" w:ascii="宋体" w:hAnsi="宋体" w:cs="宋体"/>
                <w:color w:val="auto"/>
                <w:kern w:val="0"/>
                <w:sz w:val="24"/>
              </w:rPr>
              <w:t>62,769.85</w:t>
            </w:r>
          </w:p>
        </w:tc>
        <w:tc>
          <w:tcPr>
            <w:tcW w:w="196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 xml:space="preserve">-158,100.15 </w:t>
            </w:r>
          </w:p>
        </w:tc>
        <w:tc>
          <w:tcPr>
            <w:tcW w:w="172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-71.58%</w:t>
            </w:r>
          </w:p>
        </w:tc>
      </w:tr>
      <w:tr>
        <w:tblPrEx>
          <w:tblLayout w:type="fixed"/>
          <w:tblCellMar>
            <w:top w:w="0" w:type="dxa"/>
            <w:left w:w="0" w:type="dxa"/>
            <w:bottom w:w="0" w:type="dxa"/>
            <w:right w:w="0" w:type="dxa"/>
          </w:tblCellMar>
        </w:tblPrEx>
        <w:trPr>
          <w:trHeight w:val="285" w:hRule="atLeast"/>
        </w:trPr>
        <w:tc>
          <w:tcPr>
            <w:tcW w:w="2260"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auto"/>
              <w:jc w:val="center"/>
              <w:textAlignment w:val="center"/>
              <w:rPr>
                <w:rFonts w:hint="eastAsia" w:ascii="宋体" w:hAnsi="宋体" w:cs="宋体"/>
                <w:color w:val="auto"/>
                <w:sz w:val="24"/>
              </w:rPr>
            </w:pPr>
            <w:r>
              <w:rPr>
                <w:rFonts w:hint="eastAsia" w:ascii="宋体" w:hAnsi="宋体" w:cs="宋体"/>
                <w:color w:val="auto"/>
                <w:kern w:val="0"/>
                <w:sz w:val="24"/>
              </w:rPr>
              <w:t>公务用车运行维护费</w:t>
            </w:r>
          </w:p>
        </w:tc>
        <w:tc>
          <w:tcPr>
            <w:tcW w:w="188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 xml:space="preserve">346,673.34 </w:t>
            </w:r>
          </w:p>
        </w:tc>
        <w:tc>
          <w:tcPr>
            <w:tcW w:w="20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top"/>
              <w:rPr>
                <w:rFonts w:hint="eastAsia" w:ascii="宋体" w:hAnsi="宋体" w:cs="宋体"/>
                <w:color w:val="auto"/>
                <w:sz w:val="24"/>
              </w:rPr>
            </w:pPr>
            <w:r>
              <w:rPr>
                <w:rFonts w:hint="eastAsia" w:ascii="宋体" w:hAnsi="宋体" w:cs="宋体"/>
                <w:color w:val="auto"/>
                <w:kern w:val="0"/>
                <w:sz w:val="24"/>
              </w:rPr>
              <w:t>21,514.87</w:t>
            </w:r>
          </w:p>
        </w:tc>
        <w:tc>
          <w:tcPr>
            <w:tcW w:w="196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 xml:space="preserve">-325,158.47 </w:t>
            </w:r>
          </w:p>
        </w:tc>
        <w:tc>
          <w:tcPr>
            <w:tcW w:w="172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-93.79%</w:t>
            </w:r>
          </w:p>
        </w:tc>
      </w:tr>
      <w:tr>
        <w:tblPrEx>
          <w:tblLayout w:type="fixed"/>
          <w:tblCellMar>
            <w:top w:w="0" w:type="dxa"/>
            <w:left w:w="0" w:type="dxa"/>
            <w:bottom w:w="0" w:type="dxa"/>
            <w:right w:w="0" w:type="dxa"/>
          </w:tblCellMar>
        </w:tblPrEx>
        <w:trPr>
          <w:trHeight w:val="285" w:hRule="atLeast"/>
        </w:trPr>
        <w:tc>
          <w:tcPr>
            <w:tcW w:w="2260"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auto"/>
              <w:jc w:val="center"/>
              <w:textAlignment w:val="center"/>
              <w:rPr>
                <w:rFonts w:hint="eastAsia" w:ascii="宋体" w:hAnsi="宋体" w:cs="宋体"/>
                <w:color w:val="auto"/>
                <w:sz w:val="24"/>
              </w:rPr>
            </w:pPr>
            <w:r>
              <w:rPr>
                <w:rFonts w:hint="eastAsia" w:ascii="宋体" w:hAnsi="宋体" w:cs="宋体"/>
                <w:color w:val="auto"/>
                <w:kern w:val="0"/>
                <w:sz w:val="24"/>
              </w:rPr>
              <w:t>公务用车购置</w:t>
            </w:r>
          </w:p>
        </w:tc>
        <w:tc>
          <w:tcPr>
            <w:tcW w:w="188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 xml:space="preserve">0.00 </w:t>
            </w:r>
          </w:p>
        </w:tc>
        <w:tc>
          <w:tcPr>
            <w:tcW w:w="20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top"/>
              <w:rPr>
                <w:rFonts w:hint="eastAsia" w:ascii="宋体" w:hAnsi="宋体" w:cs="宋体"/>
                <w:color w:val="auto"/>
                <w:sz w:val="24"/>
              </w:rPr>
            </w:pPr>
            <w:r>
              <w:rPr>
                <w:rFonts w:hint="eastAsia" w:ascii="宋体" w:hAnsi="宋体" w:cs="宋体"/>
                <w:color w:val="auto"/>
                <w:kern w:val="0"/>
                <w:sz w:val="24"/>
              </w:rPr>
              <w:t>0.00</w:t>
            </w:r>
          </w:p>
        </w:tc>
        <w:tc>
          <w:tcPr>
            <w:tcW w:w="196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 xml:space="preserve">0.00 </w:t>
            </w:r>
          </w:p>
        </w:tc>
        <w:tc>
          <w:tcPr>
            <w:tcW w:w="172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0.00%</w:t>
            </w:r>
          </w:p>
        </w:tc>
      </w:tr>
      <w:tr>
        <w:tblPrEx>
          <w:tblLayout w:type="fixed"/>
          <w:tblCellMar>
            <w:top w:w="0" w:type="dxa"/>
            <w:left w:w="0" w:type="dxa"/>
            <w:bottom w:w="0" w:type="dxa"/>
            <w:right w:w="0" w:type="dxa"/>
          </w:tblCellMar>
        </w:tblPrEx>
        <w:trPr>
          <w:trHeight w:val="285" w:hRule="atLeast"/>
        </w:trPr>
        <w:tc>
          <w:tcPr>
            <w:tcW w:w="2260"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auto"/>
              <w:jc w:val="center"/>
              <w:textAlignment w:val="center"/>
              <w:rPr>
                <w:rFonts w:hint="eastAsia" w:ascii="宋体" w:hAnsi="宋体" w:cs="宋体"/>
                <w:color w:val="auto"/>
                <w:sz w:val="24"/>
              </w:rPr>
            </w:pPr>
            <w:r>
              <w:rPr>
                <w:rFonts w:hint="eastAsia" w:ascii="宋体" w:hAnsi="宋体" w:cs="宋体"/>
                <w:color w:val="auto"/>
                <w:kern w:val="0"/>
                <w:sz w:val="24"/>
              </w:rPr>
              <w:t>因公出国（境）费用</w:t>
            </w:r>
          </w:p>
        </w:tc>
        <w:tc>
          <w:tcPr>
            <w:tcW w:w="188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 xml:space="preserve">0.00 </w:t>
            </w:r>
          </w:p>
        </w:tc>
        <w:tc>
          <w:tcPr>
            <w:tcW w:w="20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top"/>
              <w:rPr>
                <w:rFonts w:hint="eastAsia" w:ascii="宋体" w:hAnsi="宋体" w:cs="宋体"/>
                <w:color w:val="auto"/>
                <w:sz w:val="24"/>
              </w:rPr>
            </w:pPr>
            <w:r>
              <w:rPr>
                <w:rFonts w:hint="eastAsia" w:ascii="宋体" w:hAnsi="宋体" w:cs="宋体"/>
                <w:color w:val="auto"/>
                <w:kern w:val="0"/>
                <w:sz w:val="24"/>
              </w:rPr>
              <w:t>0.00</w:t>
            </w:r>
          </w:p>
        </w:tc>
        <w:tc>
          <w:tcPr>
            <w:tcW w:w="196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 xml:space="preserve">0.00 </w:t>
            </w:r>
          </w:p>
        </w:tc>
        <w:tc>
          <w:tcPr>
            <w:tcW w:w="172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0.00%</w:t>
            </w:r>
          </w:p>
        </w:tc>
      </w:tr>
      <w:tr>
        <w:tblPrEx>
          <w:tblLayout w:type="fixed"/>
          <w:tblCellMar>
            <w:top w:w="0" w:type="dxa"/>
            <w:left w:w="0" w:type="dxa"/>
            <w:bottom w:w="0" w:type="dxa"/>
            <w:right w:w="0" w:type="dxa"/>
          </w:tblCellMar>
        </w:tblPrEx>
        <w:trPr>
          <w:trHeight w:val="285" w:hRule="atLeast"/>
        </w:trPr>
        <w:tc>
          <w:tcPr>
            <w:tcW w:w="2260"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auto"/>
              <w:jc w:val="center"/>
              <w:textAlignment w:val="center"/>
              <w:rPr>
                <w:rFonts w:hint="eastAsia" w:ascii="宋体" w:hAnsi="宋体" w:cs="宋体"/>
                <w:color w:val="auto"/>
                <w:sz w:val="24"/>
              </w:rPr>
            </w:pPr>
            <w:r>
              <w:rPr>
                <w:rFonts w:hint="eastAsia" w:ascii="宋体" w:hAnsi="宋体" w:cs="宋体"/>
                <w:color w:val="auto"/>
                <w:kern w:val="0"/>
                <w:sz w:val="24"/>
              </w:rPr>
              <w:t>合计</w:t>
            </w:r>
          </w:p>
        </w:tc>
        <w:tc>
          <w:tcPr>
            <w:tcW w:w="188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 xml:space="preserve">567,543.34 </w:t>
            </w:r>
          </w:p>
        </w:tc>
        <w:tc>
          <w:tcPr>
            <w:tcW w:w="203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top"/>
              <w:rPr>
                <w:rFonts w:hint="eastAsia" w:ascii="宋体" w:hAnsi="宋体" w:cs="宋体"/>
                <w:color w:val="auto"/>
                <w:sz w:val="24"/>
              </w:rPr>
            </w:pPr>
            <w:r>
              <w:rPr>
                <w:rFonts w:hint="eastAsia" w:ascii="宋体" w:hAnsi="宋体" w:cs="宋体"/>
                <w:color w:val="auto"/>
                <w:kern w:val="0"/>
                <w:sz w:val="24"/>
              </w:rPr>
              <w:t>84,284.72</w:t>
            </w:r>
          </w:p>
        </w:tc>
        <w:tc>
          <w:tcPr>
            <w:tcW w:w="1965"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 xml:space="preserve">-483,258.62 </w:t>
            </w:r>
          </w:p>
        </w:tc>
        <w:tc>
          <w:tcPr>
            <w:tcW w:w="1720" w:type="dxa"/>
            <w:tcBorders>
              <w:top w:val="nil"/>
              <w:left w:val="nil"/>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-85.15%</w:t>
            </w:r>
          </w:p>
        </w:tc>
      </w:tr>
    </w:tbl>
    <w:p>
      <w:pPr>
        <w:widowControl/>
        <w:wordWrap w:val="0"/>
        <w:spacing w:before="100" w:beforeAutospacing="1" w:after="100" w:afterAutospacing="1" w:line="440" w:lineRule="exact"/>
        <w:ind w:firstLine="640"/>
        <w:jc w:val="left"/>
        <w:rPr>
          <w:rFonts w:hint="eastAsia" w:ascii="宋体" w:hAnsi="宋体" w:cs="宋体"/>
          <w:color w:val="auto"/>
          <w:kern w:val="0"/>
          <w:sz w:val="28"/>
          <w:szCs w:val="28"/>
        </w:rPr>
      </w:pPr>
      <w:r>
        <w:rPr>
          <w:rFonts w:hint="eastAsia" w:ascii="宋体" w:hAnsi="宋体" w:cs="宋体"/>
          <w:color w:val="auto"/>
          <w:kern w:val="0"/>
          <w:sz w:val="28"/>
          <w:szCs w:val="28"/>
        </w:rPr>
        <w:t>2020年度</w:t>
      </w:r>
      <w:r>
        <w:rPr>
          <w:rFonts w:hint="eastAsia" w:ascii="宋体" w:hAnsi="宋体"/>
          <w:color w:val="auto"/>
          <w:kern w:val="0"/>
          <w:sz w:val="28"/>
          <w:szCs w:val="28"/>
        </w:rPr>
        <w:t>“</w:t>
      </w:r>
      <w:r>
        <w:rPr>
          <w:rFonts w:hint="eastAsia" w:ascii="宋体" w:hAnsi="宋体" w:cs="宋体"/>
          <w:color w:val="auto"/>
          <w:kern w:val="0"/>
          <w:sz w:val="28"/>
          <w:szCs w:val="28"/>
        </w:rPr>
        <w:t>三公经费</w:t>
      </w:r>
      <w:r>
        <w:rPr>
          <w:rFonts w:hint="eastAsia" w:ascii="宋体" w:hAnsi="宋体"/>
          <w:color w:val="auto"/>
          <w:kern w:val="0"/>
          <w:sz w:val="28"/>
          <w:szCs w:val="28"/>
        </w:rPr>
        <w:t>”</w:t>
      </w:r>
      <w:r>
        <w:rPr>
          <w:rFonts w:hint="eastAsia" w:ascii="宋体" w:hAnsi="宋体" w:cs="宋体"/>
          <w:color w:val="auto"/>
          <w:kern w:val="0"/>
          <w:sz w:val="28"/>
          <w:szCs w:val="28"/>
        </w:rPr>
        <w:t>决算数8.43万元，2019年度</w:t>
      </w:r>
      <w:r>
        <w:rPr>
          <w:rFonts w:hint="eastAsia" w:ascii="宋体" w:hAnsi="宋体"/>
          <w:color w:val="auto"/>
          <w:kern w:val="0"/>
          <w:sz w:val="28"/>
          <w:szCs w:val="28"/>
        </w:rPr>
        <w:t>“</w:t>
      </w:r>
      <w:r>
        <w:rPr>
          <w:rFonts w:hint="eastAsia" w:ascii="宋体" w:hAnsi="宋体" w:cs="宋体"/>
          <w:color w:val="auto"/>
          <w:kern w:val="0"/>
          <w:sz w:val="28"/>
          <w:szCs w:val="28"/>
        </w:rPr>
        <w:t>三公经费</w:t>
      </w:r>
      <w:r>
        <w:rPr>
          <w:rFonts w:hint="eastAsia" w:ascii="宋体" w:hAnsi="宋体"/>
          <w:color w:val="auto"/>
          <w:kern w:val="0"/>
          <w:sz w:val="28"/>
          <w:szCs w:val="28"/>
        </w:rPr>
        <w:t>”</w:t>
      </w:r>
      <w:r>
        <w:rPr>
          <w:rFonts w:hint="eastAsia" w:ascii="宋体" w:hAnsi="宋体" w:cs="宋体"/>
          <w:color w:val="auto"/>
          <w:kern w:val="0"/>
          <w:sz w:val="28"/>
          <w:szCs w:val="28"/>
        </w:rPr>
        <w:t>决算数56.75万元，</w:t>
      </w:r>
      <w:r>
        <w:rPr>
          <w:rFonts w:hint="eastAsia" w:ascii="宋体" w:hAnsi="宋体"/>
          <w:color w:val="auto"/>
          <w:kern w:val="0"/>
          <w:sz w:val="28"/>
          <w:szCs w:val="28"/>
        </w:rPr>
        <w:t>2020</w:t>
      </w:r>
      <w:r>
        <w:rPr>
          <w:rFonts w:hint="eastAsia" w:ascii="宋体" w:hAnsi="宋体" w:cs="宋体"/>
          <w:color w:val="auto"/>
          <w:kern w:val="0"/>
          <w:sz w:val="28"/>
          <w:szCs w:val="28"/>
        </w:rPr>
        <w:t>年决算数比</w:t>
      </w:r>
      <w:r>
        <w:rPr>
          <w:rFonts w:hint="eastAsia" w:ascii="宋体" w:hAnsi="宋体"/>
          <w:color w:val="auto"/>
          <w:kern w:val="0"/>
          <w:sz w:val="28"/>
          <w:szCs w:val="28"/>
        </w:rPr>
        <w:t>2019</w:t>
      </w:r>
      <w:r>
        <w:rPr>
          <w:rFonts w:hint="eastAsia" w:ascii="宋体" w:hAnsi="宋体" w:cs="宋体"/>
          <w:color w:val="auto"/>
          <w:kern w:val="0"/>
          <w:sz w:val="28"/>
          <w:szCs w:val="28"/>
        </w:rPr>
        <w:t>年决算数下降</w:t>
      </w:r>
      <w:r>
        <w:rPr>
          <w:rFonts w:hint="eastAsia" w:ascii="宋体" w:hAnsi="宋体"/>
          <w:color w:val="auto"/>
          <w:kern w:val="0"/>
          <w:sz w:val="28"/>
          <w:szCs w:val="28"/>
        </w:rPr>
        <w:t>48.33</w:t>
      </w:r>
      <w:r>
        <w:rPr>
          <w:rFonts w:hint="eastAsia" w:ascii="宋体" w:hAnsi="宋体" w:cs="宋体"/>
          <w:color w:val="auto"/>
          <w:kern w:val="0"/>
          <w:sz w:val="28"/>
          <w:szCs w:val="28"/>
        </w:rPr>
        <w:t>万元，下降比例为</w:t>
      </w:r>
      <w:r>
        <w:rPr>
          <w:rFonts w:hint="eastAsia" w:ascii="宋体" w:hAnsi="宋体"/>
          <w:color w:val="auto"/>
          <w:kern w:val="0"/>
          <w:sz w:val="28"/>
          <w:szCs w:val="28"/>
        </w:rPr>
        <w:t>85.15%</w:t>
      </w:r>
      <w:r>
        <w:rPr>
          <w:rFonts w:hint="eastAsia" w:ascii="宋体" w:hAnsi="宋体" w:cs="宋体"/>
          <w:color w:val="auto"/>
          <w:kern w:val="0"/>
          <w:sz w:val="28"/>
          <w:szCs w:val="28"/>
        </w:rPr>
        <w:t>。“三公经费</w:t>
      </w:r>
      <w:r>
        <w:rPr>
          <w:rFonts w:hint="eastAsia" w:ascii="宋体" w:hAnsi="宋体"/>
          <w:color w:val="auto"/>
          <w:kern w:val="0"/>
          <w:sz w:val="28"/>
          <w:szCs w:val="28"/>
        </w:rPr>
        <w:t>”</w:t>
      </w:r>
      <w:r>
        <w:rPr>
          <w:rFonts w:hint="eastAsia" w:ascii="宋体" w:hAnsi="宋体" w:cs="宋体"/>
          <w:color w:val="auto"/>
          <w:kern w:val="0"/>
          <w:sz w:val="28"/>
          <w:szCs w:val="28"/>
        </w:rPr>
        <w:t>下降的主要原因：严格执行规章制度，按本年发生数较上年发生数只减不增原则，压缩控制“三公经费</w:t>
      </w:r>
      <w:r>
        <w:rPr>
          <w:rFonts w:hint="eastAsia" w:ascii="宋体" w:hAnsi="宋体"/>
          <w:color w:val="auto"/>
          <w:kern w:val="0"/>
          <w:sz w:val="28"/>
          <w:szCs w:val="28"/>
        </w:rPr>
        <w:t>”</w:t>
      </w:r>
      <w:r>
        <w:rPr>
          <w:rFonts w:hint="eastAsia" w:ascii="宋体" w:hAnsi="宋体" w:cs="宋体"/>
          <w:color w:val="auto"/>
          <w:kern w:val="0"/>
          <w:sz w:val="28"/>
          <w:szCs w:val="28"/>
        </w:rPr>
        <w:t>支出。</w:t>
      </w:r>
    </w:p>
    <w:p>
      <w:pPr>
        <w:widowControl/>
        <w:wordWrap w:val="0"/>
        <w:spacing w:before="100" w:beforeAutospacing="1" w:after="100" w:afterAutospacing="1" w:line="300" w:lineRule="exact"/>
        <w:ind w:firstLine="641"/>
        <w:jc w:val="left"/>
        <w:rPr>
          <w:rFonts w:hint="eastAsia" w:ascii="宋体" w:hAnsi="宋体" w:cs="宋体"/>
          <w:color w:val="auto"/>
          <w:kern w:val="0"/>
          <w:sz w:val="28"/>
          <w:szCs w:val="28"/>
        </w:rPr>
      </w:pPr>
      <w:r>
        <w:rPr>
          <w:rFonts w:hint="eastAsia" w:ascii="宋体" w:hAnsi="宋体" w:cs="宋体"/>
          <w:color w:val="auto"/>
          <w:kern w:val="0"/>
          <w:sz w:val="28"/>
          <w:szCs w:val="28"/>
        </w:rPr>
        <w:t>1.2.3“三公经费”管理情况</w:t>
      </w:r>
    </w:p>
    <w:p>
      <w:pPr>
        <w:widowControl/>
        <w:wordWrap w:val="0"/>
        <w:spacing w:before="100" w:beforeAutospacing="1" w:after="100" w:afterAutospacing="1" w:line="440" w:lineRule="exact"/>
        <w:ind w:firstLine="640"/>
        <w:jc w:val="left"/>
        <w:rPr>
          <w:rFonts w:hint="eastAsia" w:ascii="宋体" w:hAnsi="宋体" w:cs="宋体"/>
          <w:color w:val="auto"/>
          <w:kern w:val="0"/>
          <w:sz w:val="28"/>
          <w:szCs w:val="28"/>
        </w:rPr>
      </w:pPr>
      <w:r>
        <w:rPr>
          <w:rFonts w:hint="eastAsia" w:ascii="宋体" w:hAnsi="宋体" w:cs="宋体"/>
          <w:color w:val="auto"/>
          <w:kern w:val="0"/>
          <w:sz w:val="28"/>
          <w:szCs w:val="28"/>
        </w:rPr>
        <w:t>本着勤俭、节约的原则，我局响应中共中央、国务院《党政机关厉行节约反对浪费条例》文件精神，严控出国（境）审批,每个股室及二级机构严格落实公函接待制度,执行公务用车定点维修、保险，总体“三公经费”在预算的基础上至少降低10%，此项措施使我局公务用车运行维护费和公务接待费支出得到控制，崇尚节约、厉行节约、反对浪费的机关文化在我局逐步形成。</w:t>
      </w:r>
    </w:p>
    <w:p>
      <w:pPr>
        <w:widowControl/>
        <w:wordWrap w:val="0"/>
        <w:spacing w:before="100" w:beforeAutospacing="1" w:after="100" w:afterAutospacing="1" w:line="440" w:lineRule="exact"/>
        <w:ind w:firstLine="640"/>
        <w:jc w:val="left"/>
        <w:rPr>
          <w:color w:val="auto"/>
          <w:kern w:val="0"/>
          <w:sz w:val="28"/>
          <w:szCs w:val="28"/>
        </w:rPr>
      </w:pPr>
      <w:r>
        <w:rPr>
          <w:rFonts w:hint="eastAsia" w:ascii="宋体" w:hAnsi="宋体" w:cs="宋体"/>
          <w:color w:val="auto"/>
          <w:kern w:val="0"/>
          <w:sz w:val="28"/>
          <w:szCs w:val="28"/>
        </w:rPr>
        <w:t>1.3、公用经费支出是指部门基本支出中的一般商品和服务支出，2020年公用经费实际支出为481.90万</w:t>
      </w:r>
      <w:r>
        <w:rPr>
          <w:rFonts w:hint="eastAsia" w:ascii="宋体" w:hAnsi="宋体"/>
          <w:color w:val="auto"/>
          <w:kern w:val="0"/>
          <w:sz w:val="28"/>
          <w:szCs w:val="28"/>
        </w:rPr>
        <w:t>元，年初预算和追加预算安排公用经费总额为481.90万元，公用经费控制率为100%。</w:t>
      </w:r>
    </w:p>
    <w:p>
      <w:pPr>
        <w:spacing w:line="440" w:lineRule="exact"/>
        <w:ind w:firstLine="560" w:firstLineChars="200"/>
        <w:rPr>
          <w:rFonts w:hint="eastAsia" w:ascii="宋体" w:hAnsi="宋体"/>
          <w:bCs/>
          <w:color w:val="auto"/>
          <w:sz w:val="28"/>
          <w:szCs w:val="28"/>
        </w:rPr>
      </w:pPr>
      <w:r>
        <w:rPr>
          <w:rFonts w:hint="eastAsia" w:ascii="宋体" w:hAnsi="宋体"/>
          <w:bCs/>
          <w:color w:val="auto"/>
          <w:sz w:val="28"/>
          <w:szCs w:val="28"/>
        </w:rPr>
        <w:t>1.4、预算资金管理情况分析</w:t>
      </w:r>
    </w:p>
    <w:p>
      <w:pPr>
        <w:spacing w:line="440" w:lineRule="exact"/>
        <w:ind w:firstLine="560" w:firstLineChars="200"/>
        <w:rPr>
          <w:rFonts w:hint="eastAsia" w:ascii="宋体" w:hAnsi="宋体"/>
          <w:bCs/>
          <w:color w:val="auto"/>
          <w:sz w:val="28"/>
          <w:szCs w:val="28"/>
        </w:rPr>
      </w:pPr>
      <w:r>
        <w:rPr>
          <w:rFonts w:hint="eastAsia" w:ascii="宋体" w:hAnsi="宋体"/>
          <w:bCs/>
          <w:color w:val="auto"/>
          <w:sz w:val="28"/>
          <w:szCs w:val="28"/>
        </w:rPr>
        <w:t>我局按照通用财务制度和管理制度、办法进行了业务、资金管理，并制定一些专门办法和细则，纳入财政统一核算管理，有单独的记账凭证、账本、会计报表，财务上由财务审计股负责管理，业务上由各股室和二级机构执行，在在职人员控制、三公经费、公用经费、重点支出、重点工作、预算完成、预算调整、支付进度、政府采购、资产管理、信息公开、制度管理、资金管理等方面执行情况好，预算资金管理到位，取得了好的工作效果和社会公众满意度。</w:t>
      </w:r>
    </w:p>
    <w:p>
      <w:pPr>
        <w:spacing w:line="440" w:lineRule="exact"/>
        <w:ind w:firstLine="560" w:firstLineChars="200"/>
        <w:rPr>
          <w:rFonts w:hint="eastAsia" w:ascii="宋体" w:hAnsi="宋体"/>
          <w:bCs/>
          <w:color w:val="auto"/>
          <w:sz w:val="28"/>
          <w:szCs w:val="28"/>
        </w:rPr>
      </w:pPr>
      <w:r>
        <w:rPr>
          <w:rFonts w:hint="eastAsia" w:ascii="宋体" w:hAnsi="宋体"/>
          <w:bCs/>
          <w:color w:val="auto"/>
          <w:sz w:val="28"/>
          <w:szCs w:val="28"/>
        </w:rPr>
        <w:t xml:space="preserve"> 2、项目支出</w:t>
      </w:r>
    </w:p>
    <w:p>
      <w:pPr>
        <w:spacing w:line="440" w:lineRule="exact"/>
        <w:rPr>
          <w:rFonts w:hint="eastAsia" w:ascii="宋体" w:hAnsi="宋体"/>
          <w:bCs/>
          <w:color w:val="auto"/>
          <w:sz w:val="28"/>
          <w:szCs w:val="28"/>
        </w:rPr>
      </w:pPr>
      <w:r>
        <w:rPr>
          <w:rFonts w:hint="eastAsia" w:ascii="宋体" w:hAnsi="宋体"/>
          <w:bCs/>
          <w:color w:val="auto"/>
          <w:sz w:val="28"/>
          <w:szCs w:val="28"/>
        </w:rPr>
        <w:t xml:space="preserve">    2.1、项目资金安排、到位、落实，总投入等情况及分析</w:t>
      </w:r>
    </w:p>
    <w:p>
      <w:pPr>
        <w:spacing w:line="440" w:lineRule="exact"/>
        <w:ind w:firstLine="560" w:firstLineChars="200"/>
        <w:rPr>
          <w:rFonts w:hint="eastAsia" w:ascii="宋体" w:hAnsi="宋体"/>
          <w:bCs/>
          <w:color w:val="auto"/>
          <w:sz w:val="28"/>
          <w:szCs w:val="28"/>
        </w:rPr>
      </w:pPr>
      <w:r>
        <w:rPr>
          <w:rFonts w:hint="eastAsia" w:ascii="宋体" w:hAnsi="宋体"/>
          <w:bCs/>
          <w:color w:val="auto"/>
          <w:sz w:val="28"/>
          <w:szCs w:val="28"/>
        </w:rPr>
        <w:t>项目支出是在基本支出之外为完成其特定的行政工作任务而发生的支出。我局2020年项目支出预算拨入资金为65,050.17万元，全部为财政资金，已分配到各项目，已由桃江县财政局安排落实及时拨付到位，该项目无自筹资金计划及相关资料，项目资金预计总投入为65,050.17万元。</w:t>
      </w:r>
    </w:p>
    <w:p>
      <w:pPr>
        <w:widowControl/>
        <w:spacing w:line="440" w:lineRule="exact"/>
        <w:rPr>
          <w:rFonts w:hint="eastAsia" w:ascii="宋体" w:hAnsi="宋体"/>
          <w:bCs/>
          <w:color w:val="auto"/>
          <w:sz w:val="28"/>
          <w:szCs w:val="28"/>
        </w:rPr>
      </w:pPr>
      <w:r>
        <w:rPr>
          <w:rFonts w:hint="eastAsia" w:ascii="宋体" w:hAnsi="宋体"/>
          <w:bCs/>
          <w:color w:val="auto"/>
          <w:sz w:val="28"/>
          <w:szCs w:val="28"/>
        </w:rPr>
        <w:t xml:space="preserve">    2.2、项目资金实际使用情况及分析</w:t>
      </w:r>
    </w:p>
    <w:p>
      <w:pPr>
        <w:spacing w:line="440" w:lineRule="exact"/>
        <w:rPr>
          <w:rFonts w:hint="eastAsia" w:ascii="宋体" w:hAnsi="宋体"/>
          <w:bCs/>
          <w:color w:val="auto"/>
          <w:sz w:val="28"/>
          <w:szCs w:val="28"/>
        </w:rPr>
      </w:pPr>
      <w:r>
        <w:rPr>
          <w:rFonts w:hint="eastAsia" w:ascii="宋体" w:hAnsi="宋体"/>
          <w:bCs/>
          <w:color w:val="auto"/>
          <w:sz w:val="28"/>
          <w:szCs w:val="28"/>
        </w:rPr>
        <w:t xml:space="preserve">    我局2020年度项目资金至2020年12月31日止，项目实际支出为65,050.17万元，具体情况如下表：（单位:万元）</w:t>
      </w:r>
    </w:p>
    <w:tbl>
      <w:tblPr>
        <w:tblStyle w:val="5"/>
        <w:tblW w:w="9776" w:type="dxa"/>
        <w:tblInd w:w="0" w:type="dxa"/>
        <w:tblLayout w:type="fixed"/>
        <w:tblCellMar>
          <w:top w:w="0" w:type="dxa"/>
          <w:left w:w="0" w:type="dxa"/>
          <w:bottom w:w="0" w:type="dxa"/>
          <w:right w:w="0" w:type="dxa"/>
        </w:tblCellMar>
      </w:tblPr>
      <w:tblGrid>
        <w:gridCol w:w="551"/>
        <w:gridCol w:w="3432"/>
        <w:gridCol w:w="1754"/>
        <w:gridCol w:w="1638"/>
        <w:gridCol w:w="1177"/>
        <w:gridCol w:w="1224"/>
      </w:tblGrid>
      <w:tr>
        <w:tblPrEx>
          <w:tblLayout w:type="fixed"/>
          <w:tblCellMar>
            <w:top w:w="0" w:type="dxa"/>
            <w:left w:w="0" w:type="dxa"/>
            <w:bottom w:w="0" w:type="dxa"/>
            <w:right w:w="0" w:type="dxa"/>
          </w:tblCellMar>
        </w:tblPrEx>
        <w:trPr>
          <w:trHeight w:val="90" w:hRule="atLeast"/>
        </w:trPr>
        <w:tc>
          <w:tcPr>
            <w:tcW w:w="55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序号</w:t>
            </w:r>
          </w:p>
        </w:tc>
        <w:tc>
          <w:tcPr>
            <w:tcW w:w="343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预算项目</w:t>
            </w:r>
          </w:p>
        </w:tc>
        <w:tc>
          <w:tcPr>
            <w:tcW w:w="17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可用</w:t>
            </w:r>
          </w:p>
        </w:tc>
        <w:tc>
          <w:tcPr>
            <w:tcW w:w="1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实际</w:t>
            </w:r>
          </w:p>
        </w:tc>
        <w:tc>
          <w:tcPr>
            <w:tcW w:w="11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差额</w:t>
            </w:r>
          </w:p>
        </w:tc>
        <w:tc>
          <w:tcPr>
            <w:tcW w:w="12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使用比例</w:t>
            </w:r>
          </w:p>
        </w:tc>
      </w:tr>
      <w:tr>
        <w:tblPrEx>
          <w:tblLayout w:type="fixed"/>
          <w:tblCellMar>
            <w:top w:w="0" w:type="dxa"/>
            <w:left w:w="0" w:type="dxa"/>
            <w:bottom w:w="0" w:type="dxa"/>
            <w:right w:w="0" w:type="dxa"/>
          </w:tblCellMar>
        </w:tblPrEx>
        <w:trPr>
          <w:trHeight w:val="600" w:hRule="atLeast"/>
        </w:trPr>
        <w:tc>
          <w:tcPr>
            <w:tcW w:w="55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Cs w:val="21"/>
              </w:rPr>
            </w:pPr>
          </w:p>
        </w:tc>
        <w:tc>
          <w:tcPr>
            <w:tcW w:w="343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auto"/>
                <w:szCs w:val="21"/>
              </w:rPr>
            </w:pPr>
          </w:p>
        </w:tc>
        <w:tc>
          <w:tcPr>
            <w:tcW w:w="17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指标</w:t>
            </w:r>
          </w:p>
        </w:tc>
        <w:tc>
          <w:tcPr>
            <w:tcW w:w="1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使用</w:t>
            </w:r>
          </w:p>
        </w:tc>
        <w:tc>
          <w:tcPr>
            <w:tcW w:w="11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（可用-实际）</w:t>
            </w:r>
          </w:p>
        </w:tc>
        <w:tc>
          <w:tcPr>
            <w:tcW w:w="12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（实际/预算）%</w:t>
            </w:r>
          </w:p>
        </w:tc>
      </w:tr>
      <w:tr>
        <w:tblPrEx>
          <w:tblLayout w:type="fixed"/>
          <w:tblCellMar>
            <w:top w:w="0" w:type="dxa"/>
            <w:left w:w="0" w:type="dxa"/>
            <w:bottom w:w="0" w:type="dxa"/>
            <w:right w:w="0" w:type="dxa"/>
          </w:tblCellMar>
        </w:tblPrEx>
        <w:trPr>
          <w:trHeight w:val="495" w:hRule="atLeast"/>
        </w:trPr>
        <w:tc>
          <w:tcPr>
            <w:tcW w:w="5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w:t>
            </w:r>
          </w:p>
        </w:tc>
        <w:tc>
          <w:tcPr>
            <w:tcW w:w="3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Cs w:val="21"/>
              </w:rPr>
            </w:pPr>
            <w:r>
              <w:rPr>
                <w:rFonts w:hint="eastAsia" w:ascii="宋体" w:hAnsi="宋体" w:cs="宋体"/>
                <w:color w:val="auto"/>
                <w:kern w:val="0"/>
                <w:szCs w:val="21"/>
              </w:rPr>
              <w:t>土地成本</w:t>
            </w:r>
          </w:p>
        </w:tc>
        <w:tc>
          <w:tcPr>
            <w:tcW w:w="17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593,785,100.00 </w:t>
            </w:r>
          </w:p>
        </w:tc>
        <w:tc>
          <w:tcPr>
            <w:tcW w:w="16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593,785,100.00 </w:t>
            </w:r>
          </w:p>
        </w:tc>
        <w:tc>
          <w:tcPr>
            <w:tcW w:w="11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0.00 </w:t>
            </w:r>
          </w:p>
        </w:tc>
        <w:tc>
          <w:tcPr>
            <w:tcW w:w="12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100.00%</w:t>
            </w:r>
          </w:p>
        </w:tc>
      </w:tr>
      <w:tr>
        <w:tblPrEx>
          <w:tblLayout w:type="fixed"/>
          <w:tblCellMar>
            <w:top w:w="0" w:type="dxa"/>
            <w:left w:w="0" w:type="dxa"/>
            <w:bottom w:w="0" w:type="dxa"/>
            <w:right w:w="0" w:type="dxa"/>
          </w:tblCellMar>
        </w:tblPrEx>
        <w:trPr>
          <w:trHeight w:val="483" w:hRule="atLeast"/>
        </w:trPr>
        <w:tc>
          <w:tcPr>
            <w:tcW w:w="5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 w:val="24"/>
              </w:rPr>
              <w:t>2</w:t>
            </w:r>
          </w:p>
        </w:tc>
        <w:tc>
          <w:tcPr>
            <w:tcW w:w="3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Cs w:val="21"/>
              </w:rPr>
            </w:pPr>
            <w:r>
              <w:rPr>
                <w:rFonts w:hint="eastAsia" w:ascii="宋体" w:hAnsi="宋体" w:cs="宋体"/>
                <w:color w:val="auto"/>
                <w:kern w:val="0"/>
                <w:szCs w:val="21"/>
              </w:rPr>
              <w:t>地质灾害防治专项费用</w:t>
            </w:r>
          </w:p>
        </w:tc>
        <w:tc>
          <w:tcPr>
            <w:tcW w:w="17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500,000.00 </w:t>
            </w:r>
          </w:p>
        </w:tc>
        <w:tc>
          <w:tcPr>
            <w:tcW w:w="16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500,000.00 </w:t>
            </w:r>
          </w:p>
        </w:tc>
        <w:tc>
          <w:tcPr>
            <w:tcW w:w="11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0.00 </w:t>
            </w:r>
          </w:p>
        </w:tc>
        <w:tc>
          <w:tcPr>
            <w:tcW w:w="12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100.00%</w:t>
            </w:r>
          </w:p>
        </w:tc>
      </w:tr>
      <w:tr>
        <w:tblPrEx>
          <w:tblLayout w:type="fixed"/>
          <w:tblCellMar>
            <w:top w:w="0" w:type="dxa"/>
            <w:left w:w="0" w:type="dxa"/>
            <w:bottom w:w="0" w:type="dxa"/>
            <w:right w:w="0" w:type="dxa"/>
          </w:tblCellMar>
        </w:tblPrEx>
        <w:trPr>
          <w:trHeight w:val="402" w:hRule="atLeast"/>
        </w:trPr>
        <w:tc>
          <w:tcPr>
            <w:tcW w:w="5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 w:val="24"/>
              </w:rPr>
              <w:t>3</w:t>
            </w:r>
          </w:p>
        </w:tc>
        <w:tc>
          <w:tcPr>
            <w:tcW w:w="3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Cs w:val="21"/>
              </w:rPr>
            </w:pPr>
            <w:r>
              <w:rPr>
                <w:rFonts w:hint="eastAsia" w:ascii="宋体" w:hAnsi="宋体" w:cs="宋体"/>
                <w:color w:val="auto"/>
                <w:kern w:val="0"/>
                <w:szCs w:val="21"/>
              </w:rPr>
              <w:t>驻村帮扶第一书记工作经费</w:t>
            </w:r>
          </w:p>
        </w:tc>
        <w:tc>
          <w:tcPr>
            <w:tcW w:w="17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30,000.00 </w:t>
            </w:r>
          </w:p>
        </w:tc>
        <w:tc>
          <w:tcPr>
            <w:tcW w:w="16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30,000.00 </w:t>
            </w:r>
          </w:p>
        </w:tc>
        <w:tc>
          <w:tcPr>
            <w:tcW w:w="11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0.00 </w:t>
            </w:r>
          </w:p>
        </w:tc>
        <w:tc>
          <w:tcPr>
            <w:tcW w:w="12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100.00%</w:t>
            </w:r>
          </w:p>
        </w:tc>
      </w:tr>
      <w:tr>
        <w:tblPrEx>
          <w:tblLayout w:type="fixed"/>
          <w:tblCellMar>
            <w:top w:w="0" w:type="dxa"/>
            <w:left w:w="0" w:type="dxa"/>
            <w:bottom w:w="0" w:type="dxa"/>
            <w:right w:w="0" w:type="dxa"/>
          </w:tblCellMar>
        </w:tblPrEx>
        <w:trPr>
          <w:trHeight w:val="448" w:hRule="atLeast"/>
        </w:trPr>
        <w:tc>
          <w:tcPr>
            <w:tcW w:w="5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 w:val="24"/>
              </w:rPr>
              <w:t>4</w:t>
            </w:r>
          </w:p>
        </w:tc>
        <w:tc>
          <w:tcPr>
            <w:tcW w:w="3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Cs w:val="21"/>
              </w:rPr>
            </w:pPr>
            <w:r>
              <w:rPr>
                <w:rFonts w:hint="eastAsia" w:ascii="宋体" w:hAnsi="宋体" w:cs="宋体"/>
                <w:color w:val="auto"/>
                <w:kern w:val="0"/>
                <w:szCs w:val="21"/>
              </w:rPr>
              <w:t>地质灾害治理、人居环境建设等 桃自然资字[2019]年57号</w:t>
            </w:r>
          </w:p>
        </w:tc>
        <w:tc>
          <w:tcPr>
            <w:tcW w:w="17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3,150,000.00 </w:t>
            </w:r>
          </w:p>
        </w:tc>
        <w:tc>
          <w:tcPr>
            <w:tcW w:w="16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3,150,000.00 </w:t>
            </w:r>
          </w:p>
        </w:tc>
        <w:tc>
          <w:tcPr>
            <w:tcW w:w="11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0.00 </w:t>
            </w:r>
          </w:p>
        </w:tc>
        <w:tc>
          <w:tcPr>
            <w:tcW w:w="12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100.00%</w:t>
            </w:r>
          </w:p>
        </w:tc>
      </w:tr>
      <w:tr>
        <w:tblPrEx>
          <w:tblLayout w:type="fixed"/>
          <w:tblCellMar>
            <w:top w:w="0" w:type="dxa"/>
            <w:left w:w="0" w:type="dxa"/>
            <w:bottom w:w="0" w:type="dxa"/>
            <w:right w:w="0" w:type="dxa"/>
          </w:tblCellMar>
        </w:tblPrEx>
        <w:trPr>
          <w:trHeight w:val="455" w:hRule="atLeast"/>
        </w:trPr>
        <w:tc>
          <w:tcPr>
            <w:tcW w:w="5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 w:val="24"/>
              </w:rPr>
              <w:t>5</w:t>
            </w:r>
          </w:p>
        </w:tc>
        <w:tc>
          <w:tcPr>
            <w:tcW w:w="3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Cs w:val="21"/>
              </w:rPr>
            </w:pPr>
            <w:r>
              <w:rPr>
                <w:rFonts w:hint="eastAsia" w:ascii="宋体" w:hAnsi="宋体" w:cs="宋体"/>
                <w:color w:val="auto"/>
                <w:kern w:val="0"/>
                <w:szCs w:val="21"/>
              </w:rPr>
              <w:t>2019年益阳市地质灾害综合防治第二批专项资金 益资规函[2019]26号（预算指标号）</w:t>
            </w:r>
          </w:p>
        </w:tc>
        <w:tc>
          <w:tcPr>
            <w:tcW w:w="17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100,000.00 </w:t>
            </w:r>
          </w:p>
        </w:tc>
        <w:tc>
          <w:tcPr>
            <w:tcW w:w="16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100,000.00 </w:t>
            </w:r>
          </w:p>
        </w:tc>
        <w:tc>
          <w:tcPr>
            <w:tcW w:w="11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0.00 </w:t>
            </w:r>
          </w:p>
        </w:tc>
        <w:tc>
          <w:tcPr>
            <w:tcW w:w="12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100.00%</w:t>
            </w:r>
          </w:p>
        </w:tc>
      </w:tr>
      <w:tr>
        <w:tblPrEx>
          <w:tblLayout w:type="fixed"/>
          <w:tblCellMar>
            <w:top w:w="0" w:type="dxa"/>
            <w:left w:w="0" w:type="dxa"/>
            <w:bottom w:w="0" w:type="dxa"/>
            <w:right w:w="0" w:type="dxa"/>
          </w:tblCellMar>
        </w:tblPrEx>
        <w:trPr>
          <w:trHeight w:val="600" w:hRule="atLeast"/>
        </w:trPr>
        <w:tc>
          <w:tcPr>
            <w:tcW w:w="5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 w:val="24"/>
              </w:rPr>
              <w:t>6</w:t>
            </w:r>
          </w:p>
        </w:tc>
        <w:tc>
          <w:tcPr>
            <w:tcW w:w="3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Cs w:val="21"/>
              </w:rPr>
            </w:pPr>
            <w:r>
              <w:rPr>
                <w:rFonts w:hint="eastAsia" w:ascii="宋体" w:hAnsi="宋体" w:cs="宋体"/>
                <w:color w:val="auto"/>
                <w:kern w:val="0"/>
                <w:szCs w:val="21"/>
              </w:rPr>
              <w:t>2019年度脱贫攻坚考核奖励资金</w:t>
            </w:r>
          </w:p>
        </w:tc>
        <w:tc>
          <w:tcPr>
            <w:tcW w:w="17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10,000.00 </w:t>
            </w:r>
          </w:p>
        </w:tc>
        <w:tc>
          <w:tcPr>
            <w:tcW w:w="16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10,000.00 </w:t>
            </w:r>
          </w:p>
        </w:tc>
        <w:tc>
          <w:tcPr>
            <w:tcW w:w="11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0.00 </w:t>
            </w:r>
          </w:p>
        </w:tc>
        <w:tc>
          <w:tcPr>
            <w:tcW w:w="12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100.00%</w:t>
            </w:r>
          </w:p>
        </w:tc>
      </w:tr>
      <w:tr>
        <w:tblPrEx>
          <w:tblLayout w:type="fixed"/>
          <w:tblCellMar>
            <w:top w:w="0" w:type="dxa"/>
            <w:left w:w="0" w:type="dxa"/>
            <w:bottom w:w="0" w:type="dxa"/>
            <w:right w:w="0" w:type="dxa"/>
          </w:tblCellMar>
        </w:tblPrEx>
        <w:trPr>
          <w:trHeight w:val="600" w:hRule="atLeast"/>
        </w:trPr>
        <w:tc>
          <w:tcPr>
            <w:tcW w:w="5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 w:val="24"/>
              </w:rPr>
              <w:t>7</w:t>
            </w:r>
          </w:p>
        </w:tc>
        <w:tc>
          <w:tcPr>
            <w:tcW w:w="3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Cs w:val="21"/>
              </w:rPr>
            </w:pPr>
            <w:r>
              <w:rPr>
                <w:rFonts w:hint="eastAsia" w:ascii="宋体" w:hAnsi="宋体" w:cs="宋体"/>
                <w:color w:val="auto"/>
                <w:kern w:val="0"/>
                <w:szCs w:val="21"/>
              </w:rPr>
              <w:t>2020年地灾防治项目资金 湘财资环指[2020]23号</w:t>
            </w:r>
          </w:p>
        </w:tc>
        <w:tc>
          <w:tcPr>
            <w:tcW w:w="17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600,000.00 </w:t>
            </w:r>
          </w:p>
        </w:tc>
        <w:tc>
          <w:tcPr>
            <w:tcW w:w="16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600,000.00 </w:t>
            </w:r>
          </w:p>
        </w:tc>
        <w:tc>
          <w:tcPr>
            <w:tcW w:w="11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0.00 </w:t>
            </w:r>
          </w:p>
        </w:tc>
        <w:tc>
          <w:tcPr>
            <w:tcW w:w="12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100.00%</w:t>
            </w:r>
          </w:p>
        </w:tc>
      </w:tr>
      <w:tr>
        <w:tblPrEx>
          <w:tblLayout w:type="fixed"/>
          <w:tblCellMar>
            <w:top w:w="0" w:type="dxa"/>
            <w:left w:w="0" w:type="dxa"/>
            <w:bottom w:w="0" w:type="dxa"/>
            <w:right w:w="0" w:type="dxa"/>
          </w:tblCellMar>
        </w:tblPrEx>
        <w:trPr>
          <w:trHeight w:val="600" w:hRule="atLeast"/>
        </w:trPr>
        <w:tc>
          <w:tcPr>
            <w:tcW w:w="5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 w:val="24"/>
              </w:rPr>
              <w:t>8</w:t>
            </w:r>
          </w:p>
        </w:tc>
        <w:tc>
          <w:tcPr>
            <w:tcW w:w="3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Cs w:val="21"/>
              </w:rPr>
            </w:pPr>
            <w:r>
              <w:rPr>
                <w:rFonts w:hint="eastAsia" w:ascii="宋体" w:hAnsi="宋体" w:cs="宋体"/>
                <w:color w:val="auto"/>
                <w:kern w:val="0"/>
                <w:szCs w:val="21"/>
              </w:rPr>
              <w:t>2020年地灾防治项目资金 湘财资环指[2019]68号</w:t>
            </w:r>
          </w:p>
        </w:tc>
        <w:tc>
          <w:tcPr>
            <w:tcW w:w="17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1,200,000.00 </w:t>
            </w:r>
          </w:p>
        </w:tc>
        <w:tc>
          <w:tcPr>
            <w:tcW w:w="16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1,200,000.00 </w:t>
            </w:r>
          </w:p>
        </w:tc>
        <w:tc>
          <w:tcPr>
            <w:tcW w:w="11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0.00 </w:t>
            </w:r>
          </w:p>
        </w:tc>
        <w:tc>
          <w:tcPr>
            <w:tcW w:w="12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100.00%</w:t>
            </w:r>
          </w:p>
        </w:tc>
      </w:tr>
      <w:tr>
        <w:tblPrEx>
          <w:tblLayout w:type="fixed"/>
          <w:tblCellMar>
            <w:top w:w="0" w:type="dxa"/>
            <w:left w:w="0" w:type="dxa"/>
            <w:bottom w:w="0" w:type="dxa"/>
            <w:right w:w="0" w:type="dxa"/>
          </w:tblCellMar>
        </w:tblPrEx>
        <w:trPr>
          <w:trHeight w:val="600" w:hRule="atLeast"/>
        </w:trPr>
        <w:tc>
          <w:tcPr>
            <w:tcW w:w="5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 w:val="24"/>
              </w:rPr>
              <w:t>9</w:t>
            </w:r>
          </w:p>
        </w:tc>
        <w:tc>
          <w:tcPr>
            <w:tcW w:w="3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Cs w:val="21"/>
              </w:rPr>
            </w:pPr>
            <w:r>
              <w:rPr>
                <w:rFonts w:hint="eastAsia" w:ascii="宋体" w:hAnsi="宋体" w:cs="宋体"/>
                <w:color w:val="auto"/>
                <w:kern w:val="0"/>
                <w:szCs w:val="21"/>
              </w:rPr>
              <w:t>2020年第一批中央自然灾害防治体建设补助资金 湘财资环指[2020]10号</w:t>
            </w:r>
          </w:p>
        </w:tc>
        <w:tc>
          <w:tcPr>
            <w:tcW w:w="17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1,800,000.00 </w:t>
            </w:r>
          </w:p>
        </w:tc>
        <w:tc>
          <w:tcPr>
            <w:tcW w:w="16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1,800,000.00 </w:t>
            </w:r>
          </w:p>
        </w:tc>
        <w:tc>
          <w:tcPr>
            <w:tcW w:w="11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0.00 </w:t>
            </w:r>
          </w:p>
        </w:tc>
        <w:tc>
          <w:tcPr>
            <w:tcW w:w="12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100.00%</w:t>
            </w:r>
          </w:p>
        </w:tc>
      </w:tr>
      <w:tr>
        <w:tblPrEx>
          <w:tblLayout w:type="fixed"/>
          <w:tblCellMar>
            <w:top w:w="0" w:type="dxa"/>
            <w:left w:w="0" w:type="dxa"/>
            <w:bottom w:w="0" w:type="dxa"/>
            <w:right w:w="0" w:type="dxa"/>
          </w:tblCellMar>
        </w:tblPrEx>
        <w:trPr>
          <w:trHeight w:val="483" w:hRule="atLeast"/>
        </w:trPr>
        <w:tc>
          <w:tcPr>
            <w:tcW w:w="5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 w:val="24"/>
              </w:rPr>
              <w:t>10</w:t>
            </w:r>
          </w:p>
        </w:tc>
        <w:tc>
          <w:tcPr>
            <w:tcW w:w="3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Cs w:val="21"/>
              </w:rPr>
            </w:pPr>
            <w:r>
              <w:rPr>
                <w:rFonts w:hint="eastAsia" w:ascii="宋体" w:hAnsi="宋体" w:cs="宋体"/>
                <w:color w:val="auto"/>
                <w:kern w:val="0"/>
                <w:szCs w:val="21"/>
              </w:rPr>
              <w:t>2020年增减挂钩项目资金</w:t>
            </w:r>
          </w:p>
        </w:tc>
        <w:tc>
          <w:tcPr>
            <w:tcW w:w="17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19,131,700.00 </w:t>
            </w:r>
          </w:p>
        </w:tc>
        <w:tc>
          <w:tcPr>
            <w:tcW w:w="16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19,131,700.00 </w:t>
            </w:r>
          </w:p>
        </w:tc>
        <w:tc>
          <w:tcPr>
            <w:tcW w:w="11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0.00 </w:t>
            </w:r>
          </w:p>
        </w:tc>
        <w:tc>
          <w:tcPr>
            <w:tcW w:w="12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100.00%</w:t>
            </w:r>
          </w:p>
        </w:tc>
      </w:tr>
      <w:tr>
        <w:tblPrEx>
          <w:tblLayout w:type="fixed"/>
          <w:tblCellMar>
            <w:top w:w="0" w:type="dxa"/>
            <w:left w:w="0" w:type="dxa"/>
            <w:bottom w:w="0" w:type="dxa"/>
            <w:right w:w="0" w:type="dxa"/>
          </w:tblCellMar>
        </w:tblPrEx>
        <w:trPr>
          <w:trHeight w:val="419" w:hRule="atLeast"/>
        </w:trPr>
        <w:tc>
          <w:tcPr>
            <w:tcW w:w="5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 w:val="24"/>
              </w:rPr>
              <w:t>11</w:t>
            </w:r>
          </w:p>
        </w:tc>
        <w:tc>
          <w:tcPr>
            <w:tcW w:w="34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Cs w:val="21"/>
              </w:rPr>
            </w:pPr>
            <w:r>
              <w:rPr>
                <w:rFonts w:hint="eastAsia" w:ascii="宋体" w:hAnsi="宋体" w:cs="宋体"/>
                <w:color w:val="auto"/>
                <w:kern w:val="0"/>
                <w:szCs w:val="21"/>
              </w:rPr>
              <w:t>县级耕地占补平衡项目资金</w:t>
            </w:r>
          </w:p>
        </w:tc>
        <w:tc>
          <w:tcPr>
            <w:tcW w:w="17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10,000,000.00 </w:t>
            </w:r>
          </w:p>
        </w:tc>
        <w:tc>
          <w:tcPr>
            <w:tcW w:w="16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10,000,000.00 </w:t>
            </w:r>
          </w:p>
        </w:tc>
        <w:tc>
          <w:tcPr>
            <w:tcW w:w="11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0.00 </w:t>
            </w:r>
          </w:p>
        </w:tc>
        <w:tc>
          <w:tcPr>
            <w:tcW w:w="12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100.00%</w:t>
            </w:r>
          </w:p>
        </w:tc>
      </w:tr>
      <w:tr>
        <w:tblPrEx>
          <w:tblLayout w:type="fixed"/>
          <w:tblCellMar>
            <w:top w:w="0" w:type="dxa"/>
            <w:left w:w="0" w:type="dxa"/>
            <w:bottom w:w="0" w:type="dxa"/>
            <w:right w:w="0" w:type="dxa"/>
          </w:tblCellMar>
        </w:tblPrEx>
        <w:trPr>
          <w:trHeight w:val="714" w:hRule="atLeast"/>
        </w:trPr>
        <w:tc>
          <w:tcPr>
            <w:tcW w:w="5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 w:val="24"/>
              </w:rPr>
              <w:t>12</w:t>
            </w:r>
          </w:p>
        </w:tc>
        <w:tc>
          <w:tcPr>
            <w:tcW w:w="34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Cs w:val="21"/>
              </w:rPr>
            </w:pPr>
            <w:r>
              <w:rPr>
                <w:rFonts w:hint="eastAsia" w:ascii="宋体" w:hAnsi="宋体" w:cs="宋体"/>
                <w:color w:val="auto"/>
                <w:kern w:val="0"/>
                <w:szCs w:val="21"/>
              </w:rPr>
              <w:t>石煤矿治理退还弘基矿业“两权”价款</w:t>
            </w:r>
          </w:p>
        </w:tc>
        <w:tc>
          <w:tcPr>
            <w:tcW w:w="17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2,018,000.00 </w:t>
            </w:r>
          </w:p>
        </w:tc>
        <w:tc>
          <w:tcPr>
            <w:tcW w:w="16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2,018,000.00 </w:t>
            </w:r>
          </w:p>
        </w:tc>
        <w:tc>
          <w:tcPr>
            <w:tcW w:w="11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0.00 </w:t>
            </w:r>
          </w:p>
        </w:tc>
        <w:tc>
          <w:tcPr>
            <w:tcW w:w="12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100.00%</w:t>
            </w:r>
          </w:p>
        </w:tc>
      </w:tr>
      <w:tr>
        <w:tblPrEx>
          <w:tblLayout w:type="fixed"/>
          <w:tblCellMar>
            <w:top w:w="0" w:type="dxa"/>
            <w:left w:w="0" w:type="dxa"/>
            <w:bottom w:w="0" w:type="dxa"/>
            <w:right w:w="0" w:type="dxa"/>
          </w:tblCellMar>
        </w:tblPrEx>
        <w:trPr>
          <w:trHeight w:val="443" w:hRule="atLeast"/>
        </w:trPr>
        <w:tc>
          <w:tcPr>
            <w:tcW w:w="5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 w:val="24"/>
              </w:rPr>
              <w:t>13</w:t>
            </w:r>
          </w:p>
        </w:tc>
        <w:tc>
          <w:tcPr>
            <w:tcW w:w="34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Cs w:val="21"/>
              </w:rPr>
            </w:pPr>
            <w:r>
              <w:rPr>
                <w:rFonts w:hint="eastAsia" w:ascii="宋体" w:hAnsi="宋体" w:cs="宋体"/>
                <w:color w:val="auto"/>
                <w:kern w:val="0"/>
                <w:szCs w:val="21"/>
              </w:rPr>
              <w:t>2020年第一批市级土地整治项目 益财资环指[2020]72号</w:t>
            </w:r>
          </w:p>
        </w:tc>
        <w:tc>
          <w:tcPr>
            <w:tcW w:w="17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400,000.00 </w:t>
            </w:r>
          </w:p>
        </w:tc>
        <w:tc>
          <w:tcPr>
            <w:tcW w:w="16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400,000.00 </w:t>
            </w:r>
          </w:p>
        </w:tc>
        <w:tc>
          <w:tcPr>
            <w:tcW w:w="11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0.00 </w:t>
            </w:r>
          </w:p>
        </w:tc>
        <w:tc>
          <w:tcPr>
            <w:tcW w:w="12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100.00%</w:t>
            </w:r>
          </w:p>
        </w:tc>
      </w:tr>
      <w:tr>
        <w:tblPrEx>
          <w:tblLayout w:type="fixed"/>
          <w:tblCellMar>
            <w:top w:w="0" w:type="dxa"/>
            <w:left w:w="0" w:type="dxa"/>
            <w:bottom w:w="0" w:type="dxa"/>
            <w:right w:w="0" w:type="dxa"/>
          </w:tblCellMar>
        </w:tblPrEx>
        <w:trPr>
          <w:trHeight w:val="750" w:hRule="atLeast"/>
        </w:trPr>
        <w:tc>
          <w:tcPr>
            <w:tcW w:w="5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 w:val="24"/>
              </w:rPr>
              <w:t>14</w:t>
            </w:r>
          </w:p>
        </w:tc>
        <w:tc>
          <w:tcPr>
            <w:tcW w:w="34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Cs w:val="21"/>
              </w:rPr>
            </w:pPr>
            <w:r>
              <w:rPr>
                <w:rFonts w:hint="eastAsia" w:ascii="宋体" w:hAnsi="宋体" w:cs="宋体"/>
                <w:color w:val="auto"/>
                <w:kern w:val="0"/>
                <w:szCs w:val="21"/>
              </w:rPr>
              <w:t>2020年自然资源相关补助资金 湘财资环指[2020]48号</w:t>
            </w:r>
          </w:p>
        </w:tc>
        <w:tc>
          <w:tcPr>
            <w:tcW w:w="17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690,000.00 </w:t>
            </w:r>
          </w:p>
        </w:tc>
        <w:tc>
          <w:tcPr>
            <w:tcW w:w="16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690,000.00 </w:t>
            </w:r>
          </w:p>
        </w:tc>
        <w:tc>
          <w:tcPr>
            <w:tcW w:w="11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0.00 </w:t>
            </w:r>
          </w:p>
        </w:tc>
        <w:tc>
          <w:tcPr>
            <w:tcW w:w="12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100.00%</w:t>
            </w:r>
          </w:p>
        </w:tc>
      </w:tr>
      <w:tr>
        <w:tblPrEx>
          <w:tblLayout w:type="fixed"/>
          <w:tblCellMar>
            <w:top w:w="0" w:type="dxa"/>
            <w:left w:w="0" w:type="dxa"/>
            <w:bottom w:w="0" w:type="dxa"/>
            <w:right w:w="0" w:type="dxa"/>
          </w:tblCellMar>
        </w:tblPrEx>
        <w:trPr>
          <w:trHeight w:val="510" w:hRule="atLeast"/>
        </w:trPr>
        <w:tc>
          <w:tcPr>
            <w:tcW w:w="5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 w:val="24"/>
              </w:rPr>
              <w:t>15</w:t>
            </w:r>
          </w:p>
        </w:tc>
        <w:tc>
          <w:tcPr>
            <w:tcW w:w="34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Cs w:val="21"/>
              </w:rPr>
            </w:pPr>
            <w:r>
              <w:rPr>
                <w:rFonts w:hint="eastAsia" w:ascii="宋体" w:hAnsi="宋体" w:cs="宋体"/>
                <w:color w:val="auto"/>
                <w:kern w:val="0"/>
                <w:szCs w:val="21"/>
              </w:rPr>
              <w:t>2020年第三批中央自然灾害防治体系建设资金 湘财资环指[2020]45号</w:t>
            </w:r>
          </w:p>
        </w:tc>
        <w:tc>
          <w:tcPr>
            <w:tcW w:w="17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2,520,000.00 </w:t>
            </w:r>
          </w:p>
        </w:tc>
        <w:tc>
          <w:tcPr>
            <w:tcW w:w="16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2,520,000.00 </w:t>
            </w:r>
          </w:p>
        </w:tc>
        <w:tc>
          <w:tcPr>
            <w:tcW w:w="11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0.00 </w:t>
            </w:r>
          </w:p>
        </w:tc>
        <w:tc>
          <w:tcPr>
            <w:tcW w:w="12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100.00%</w:t>
            </w:r>
          </w:p>
        </w:tc>
      </w:tr>
      <w:tr>
        <w:tblPrEx>
          <w:tblLayout w:type="fixed"/>
          <w:tblCellMar>
            <w:top w:w="0" w:type="dxa"/>
            <w:left w:w="0" w:type="dxa"/>
            <w:bottom w:w="0" w:type="dxa"/>
            <w:right w:w="0" w:type="dxa"/>
          </w:tblCellMar>
        </w:tblPrEx>
        <w:trPr>
          <w:trHeight w:val="285" w:hRule="atLeast"/>
        </w:trPr>
        <w:tc>
          <w:tcPr>
            <w:tcW w:w="5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 w:val="24"/>
              </w:rPr>
              <w:t>16</w:t>
            </w:r>
          </w:p>
        </w:tc>
        <w:tc>
          <w:tcPr>
            <w:tcW w:w="34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Cs w:val="21"/>
              </w:rPr>
            </w:pPr>
            <w:r>
              <w:rPr>
                <w:rFonts w:hint="eastAsia" w:ascii="宋体" w:hAnsi="宋体" w:cs="宋体"/>
                <w:color w:val="auto"/>
                <w:kern w:val="0"/>
                <w:szCs w:val="21"/>
              </w:rPr>
              <w:t>第三次国土调查经费</w:t>
            </w:r>
          </w:p>
        </w:tc>
        <w:tc>
          <w:tcPr>
            <w:tcW w:w="17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2,000,000.00 </w:t>
            </w:r>
          </w:p>
        </w:tc>
        <w:tc>
          <w:tcPr>
            <w:tcW w:w="16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2,000,000.00 </w:t>
            </w:r>
          </w:p>
        </w:tc>
        <w:tc>
          <w:tcPr>
            <w:tcW w:w="11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0.00 </w:t>
            </w:r>
          </w:p>
        </w:tc>
        <w:tc>
          <w:tcPr>
            <w:tcW w:w="12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100.00%</w:t>
            </w:r>
          </w:p>
        </w:tc>
      </w:tr>
      <w:tr>
        <w:tblPrEx>
          <w:tblLayout w:type="fixed"/>
          <w:tblCellMar>
            <w:top w:w="0" w:type="dxa"/>
            <w:left w:w="0" w:type="dxa"/>
            <w:bottom w:w="0" w:type="dxa"/>
            <w:right w:w="0" w:type="dxa"/>
          </w:tblCellMar>
        </w:tblPrEx>
        <w:trPr>
          <w:trHeight w:val="285" w:hRule="atLeast"/>
        </w:trPr>
        <w:tc>
          <w:tcPr>
            <w:tcW w:w="5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 w:val="24"/>
              </w:rPr>
              <w:t>17</w:t>
            </w:r>
          </w:p>
        </w:tc>
        <w:tc>
          <w:tcPr>
            <w:tcW w:w="34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Cs w:val="21"/>
              </w:rPr>
            </w:pPr>
            <w:r>
              <w:rPr>
                <w:rFonts w:hint="eastAsia" w:ascii="宋体" w:hAnsi="宋体" w:cs="宋体"/>
                <w:color w:val="auto"/>
                <w:kern w:val="0"/>
                <w:szCs w:val="21"/>
              </w:rPr>
              <w:t>飞力建材采矿权价款支出成本</w:t>
            </w:r>
          </w:p>
        </w:tc>
        <w:tc>
          <w:tcPr>
            <w:tcW w:w="17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111,200.00 </w:t>
            </w:r>
          </w:p>
        </w:tc>
        <w:tc>
          <w:tcPr>
            <w:tcW w:w="16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111,200.00 </w:t>
            </w:r>
          </w:p>
        </w:tc>
        <w:tc>
          <w:tcPr>
            <w:tcW w:w="11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0.00 </w:t>
            </w:r>
          </w:p>
        </w:tc>
        <w:tc>
          <w:tcPr>
            <w:tcW w:w="12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100.00%</w:t>
            </w:r>
          </w:p>
        </w:tc>
      </w:tr>
      <w:tr>
        <w:tblPrEx>
          <w:tblLayout w:type="fixed"/>
          <w:tblCellMar>
            <w:top w:w="0" w:type="dxa"/>
            <w:left w:w="0" w:type="dxa"/>
            <w:bottom w:w="0" w:type="dxa"/>
            <w:right w:w="0" w:type="dxa"/>
          </w:tblCellMar>
        </w:tblPrEx>
        <w:trPr>
          <w:trHeight w:val="285" w:hRule="atLeast"/>
        </w:trPr>
        <w:tc>
          <w:tcPr>
            <w:tcW w:w="5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 w:val="24"/>
              </w:rPr>
              <w:t>18</w:t>
            </w:r>
          </w:p>
        </w:tc>
        <w:tc>
          <w:tcPr>
            <w:tcW w:w="34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Cs w:val="21"/>
              </w:rPr>
            </w:pPr>
            <w:r>
              <w:rPr>
                <w:rFonts w:hint="eastAsia" w:ascii="宋体" w:hAnsi="宋体" w:cs="宋体"/>
                <w:color w:val="auto"/>
                <w:kern w:val="0"/>
                <w:szCs w:val="21"/>
              </w:rPr>
              <w:t>华信陶粒采矿权价款支出成本</w:t>
            </w:r>
          </w:p>
        </w:tc>
        <w:tc>
          <w:tcPr>
            <w:tcW w:w="17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246,800.00 </w:t>
            </w:r>
          </w:p>
        </w:tc>
        <w:tc>
          <w:tcPr>
            <w:tcW w:w="16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246,800.00 </w:t>
            </w:r>
          </w:p>
        </w:tc>
        <w:tc>
          <w:tcPr>
            <w:tcW w:w="11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0.00 </w:t>
            </w:r>
          </w:p>
        </w:tc>
        <w:tc>
          <w:tcPr>
            <w:tcW w:w="12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100.00%</w:t>
            </w:r>
          </w:p>
        </w:tc>
      </w:tr>
      <w:tr>
        <w:tblPrEx>
          <w:tblLayout w:type="fixed"/>
          <w:tblCellMar>
            <w:top w:w="0" w:type="dxa"/>
            <w:left w:w="0" w:type="dxa"/>
            <w:bottom w:w="0" w:type="dxa"/>
            <w:right w:w="0" w:type="dxa"/>
          </w:tblCellMar>
        </w:tblPrEx>
        <w:trPr>
          <w:trHeight w:val="495" w:hRule="atLeast"/>
        </w:trPr>
        <w:tc>
          <w:tcPr>
            <w:tcW w:w="5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 w:val="24"/>
              </w:rPr>
              <w:t>19</w:t>
            </w:r>
          </w:p>
        </w:tc>
        <w:tc>
          <w:tcPr>
            <w:tcW w:w="34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Cs w:val="21"/>
              </w:rPr>
            </w:pPr>
            <w:r>
              <w:rPr>
                <w:rFonts w:hint="eastAsia" w:ascii="宋体" w:hAnsi="宋体" w:cs="宋体"/>
                <w:color w:val="auto"/>
                <w:kern w:val="0"/>
                <w:szCs w:val="21"/>
              </w:rPr>
              <w:t>2019年土地出让征收经费及奖励</w:t>
            </w:r>
          </w:p>
        </w:tc>
        <w:tc>
          <w:tcPr>
            <w:tcW w:w="17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12,168,900.00 </w:t>
            </w:r>
          </w:p>
        </w:tc>
        <w:tc>
          <w:tcPr>
            <w:tcW w:w="16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12,168,900.00 </w:t>
            </w:r>
          </w:p>
        </w:tc>
        <w:tc>
          <w:tcPr>
            <w:tcW w:w="11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0.00 </w:t>
            </w:r>
          </w:p>
        </w:tc>
        <w:tc>
          <w:tcPr>
            <w:tcW w:w="12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100.00%</w:t>
            </w:r>
          </w:p>
        </w:tc>
      </w:tr>
      <w:tr>
        <w:tblPrEx>
          <w:tblLayout w:type="fixed"/>
          <w:tblCellMar>
            <w:top w:w="0" w:type="dxa"/>
            <w:left w:w="0" w:type="dxa"/>
            <w:bottom w:w="0" w:type="dxa"/>
            <w:right w:w="0" w:type="dxa"/>
          </w:tblCellMar>
        </w:tblPrEx>
        <w:trPr>
          <w:trHeight w:val="480" w:hRule="atLeast"/>
        </w:trPr>
        <w:tc>
          <w:tcPr>
            <w:tcW w:w="5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 w:val="24"/>
              </w:rPr>
              <w:t>20</w:t>
            </w:r>
          </w:p>
        </w:tc>
        <w:tc>
          <w:tcPr>
            <w:tcW w:w="34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auto"/>
                <w:szCs w:val="21"/>
              </w:rPr>
            </w:pPr>
            <w:r>
              <w:rPr>
                <w:rFonts w:hint="eastAsia" w:ascii="宋体" w:hAnsi="宋体" w:cs="宋体"/>
                <w:color w:val="auto"/>
                <w:kern w:val="0"/>
                <w:szCs w:val="21"/>
              </w:rPr>
              <w:t>2020年地质灾害应急经费[2020]年134号</w:t>
            </w:r>
          </w:p>
        </w:tc>
        <w:tc>
          <w:tcPr>
            <w:tcW w:w="17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40,000.00 </w:t>
            </w:r>
          </w:p>
        </w:tc>
        <w:tc>
          <w:tcPr>
            <w:tcW w:w="16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40,000.00 </w:t>
            </w:r>
          </w:p>
        </w:tc>
        <w:tc>
          <w:tcPr>
            <w:tcW w:w="11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0.00 </w:t>
            </w:r>
          </w:p>
        </w:tc>
        <w:tc>
          <w:tcPr>
            <w:tcW w:w="12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100.00%</w:t>
            </w:r>
          </w:p>
        </w:tc>
      </w:tr>
      <w:tr>
        <w:tblPrEx>
          <w:tblLayout w:type="fixed"/>
          <w:tblCellMar>
            <w:top w:w="0" w:type="dxa"/>
            <w:left w:w="0" w:type="dxa"/>
            <w:bottom w:w="0" w:type="dxa"/>
            <w:right w:w="0" w:type="dxa"/>
          </w:tblCellMar>
        </w:tblPrEx>
        <w:trPr>
          <w:trHeight w:val="285" w:hRule="atLeast"/>
        </w:trPr>
        <w:tc>
          <w:tcPr>
            <w:tcW w:w="55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hint="eastAsia" w:ascii="宋体" w:hAnsi="宋体" w:cs="宋体"/>
                <w:color w:val="auto"/>
                <w:szCs w:val="21"/>
              </w:rPr>
            </w:pPr>
          </w:p>
        </w:tc>
        <w:tc>
          <w:tcPr>
            <w:tcW w:w="343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合计</w:t>
            </w:r>
          </w:p>
        </w:tc>
        <w:tc>
          <w:tcPr>
            <w:tcW w:w="1754"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650,501,700.00 </w:t>
            </w:r>
          </w:p>
        </w:tc>
        <w:tc>
          <w:tcPr>
            <w:tcW w:w="16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Cs w:val="21"/>
              </w:rPr>
            </w:pPr>
            <w:r>
              <w:rPr>
                <w:rFonts w:hint="eastAsia" w:ascii="宋体" w:hAnsi="宋体" w:cs="宋体"/>
                <w:color w:val="auto"/>
                <w:kern w:val="0"/>
                <w:szCs w:val="21"/>
              </w:rPr>
              <w:t xml:space="preserve">650,501,700.00 </w:t>
            </w:r>
          </w:p>
        </w:tc>
        <w:tc>
          <w:tcPr>
            <w:tcW w:w="11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Cs w:val="21"/>
              </w:rPr>
            </w:pPr>
          </w:p>
        </w:tc>
        <w:tc>
          <w:tcPr>
            <w:tcW w:w="12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auto"/>
                <w:szCs w:val="21"/>
              </w:rPr>
            </w:pPr>
          </w:p>
        </w:tc>
      </w:tr>
    </w:tbl>
    <w:p>
      <w:pPr>
        <w:spacing w:line="440" w:lineRule="exact"/>
        <w:ind w:firstLine="560" w:firstLineChars="200"/>
        <w:rPr>
          <w:rFonts w:hint="eastAsia" w:ascii="宋体" w:hAnsi="宋体"/>
          <w:bCs/>
          <w:color w:val="auto"/>
          <w:sz w:val="28"/>
          <w:szCs w:val="28"/>
        </w:rPr>
      </w:pPr>
      <w:r>
        <w:rPr>
          <w:rFonts w:hint="eastAsia" w:ascii="宋体" w:hAnsi="宋体"/>
          <w:bCs/>
          <w:color w:val="auto"/>
          <w:sz w:val="28"/>
          <w:szCs w:val="28"/>
        </w:rPr>
        <w:t xml:space="preserve">项目支出预算65,050.17万元，决算数65,050.17万元，收支相符。 </w:t>
      </w:r>
    </w:p>
    <w:p>
      <w:pPr>
        <w:spacing w:line="440" w:lineRule="exact"/>
        <w:ind w:firstLine="560" w:firstLineChars="200"/>
        <w:rPr>
          <w:rFonts w:hint="eastAsia" w:ascii="宋体" w:hAnsi="宋体"/>
          <w:bCs/>
          <w:color w:val="auto"/>
          <w:sz w:val="28"/>
          <w:szCs w:val="28"/>
        </w:rPr>
      </w:pPr>
      <w:r>
        <w:rPr>
          <w:rFonts w:hint="eastAsia" w:ascii="宋体" w:hAnsi="宋体"/>
          <w:bCs/>
          <w:color w:val="auto"/>
          <w:sz w:val="28"/>
          <w:szCs w:val="28"/>
        </w:rPr>
        <w:t>2.3、项目资金管理情况分析</w:t>
      </w:r>
    </w:p>
    <w:p>
      <w:pPr>
        <w:spacing w:line="440" w:lineRule="exact"/>
        <w:ind w:firstLine="560" w:firstLineChars="200"/>
        <w:rPr>
          <w:rFonts w:hint="eastAsia" w:ascii="宋体" w:hAnsi="宋体"/>
          <w:bCs/>
          <w:color w:val="auto"/>
          <w:sz w:val="28"/>
          <w:szCs w:val="28"/>
        </w:rPr>
      </w:pPr>
      <w:r>
        <w:rPr>
          <w:rFonts w:hint="eastAsia" w:ascii="宋体" w:hAnsi="宋体"/>
          <w:bCs/>
          <w:color w:val="auto"/>
          <w:sz w:val="28"/>
          <w:szCs w:val="28"/>
        </w:rPr>
        <w:t>我局2020年项目制定一些专门办法和细则，按照通用财务管理制度、办法进行了业务管理，设有专账或帐页核算，纳入财政统一核算管理，有单独的记账凭证、账本、会计报表，财务上由财务审计股负责管理，项目工程造价全部由社会中介和桃江县审计局、桃江县财政投资评审中心审计,财务执行情况好，项目资金管理到位。</w:t>
      </w:r>
    </w:p>
    <w:p>
      <w:pPr>
        <w:spacing w:line="440" w:lineRule="exact"/>
        <w:ind w:firstLine="562" w:firstLineChars="200"/>
        <w:rPr>
          <w:rFonts w:hint="eastAsia"/>
          <w:b/>
          <w:color w:val="auto"/>
          <w:sz w:val="28"/>
          <w:szCs w:val="28"/>
        </w:rPr>
      </w:pPr>
      <w:r>
        <w:rPr>
          <w:rFonts w:hint="eastAsia"/>
          <w:b/>
          <w:color w:val="auto"/>
          <w:sz w:val="28"/>
          <w:szCs w:val="28"/>
        </w:rPr>
        <w:t>三、项目组织实施情况</w:t>
      </w:r>
    </w:p>
    <w:p>
      <w:pPr>
        <w:spacing w:line="440" w:lineRule="exact"/>
        <w:rPr>
          <w:rFonts w:hint="eastAsia" w:ascii="宋体" w:hAnsi="宋体"/>
          <w:bCs/>
          <w:color w:val="auto"/>
          <w:sz w:val="28"/>
          <w:szCs w:val="28"/>
        </w:rPr>
      </w:pPr>
      <w:r>
        <w:rPr>
          <w:rFonts w:hint="eastAsia" w:ascii="宋体" w:hAnsi="宋体"/>
          <w:bCs/>
          <w:color w:val="auto"/>
          <w:sz w:val="28"/>
          <w:szCs w:val="28"/>
        </w:rPr>
        <w:t xml:space="preserve">   （一）项目</w:t>
      </w:r>
      <w:r>
        <w:rPr>
          <w:rFonts w:hint="eastAsia" w:ascii="宋体" w:hAnsi="宋体"/>
          <w:bCs/>
          <w:color w:val="auto"/>
          <w:kern w:val="21"/>
          <w:sz w:val="28"/>
          <w:szCs w:val="28"/>
        </w:rPr>
        <w:t>组织实施情</w:t>
      </w:r>
      <w:r>
        <w:rPr>
          <w:rFonts w:hint="eastAsia" w:ascii="宋体" w:hAnsi="宋体"/>
          <w:bCs/>
          <w:color w:val="auto"/>
          <w:sz w:val="28"/>
          <w:szCs w:val="28"/>
        </w:rPr>
        <w:t>况及分析</w:t>
      </w:r>
    </w:p>
    <w:p>
      <w:pPr>
        <w:spacing w:line="440" w:lineRule="exact"/>
        <w:ind w:firstLine="560" w:firstLineChars="200"/>
        <w:rPr>
          <w:rFonts w:hint="eastAsia" w:ascii="宋体" w:hAnsi="宋体"/>
          <w:bCs/>
          <w:color w:val="auto"/>
          <w:sz w:val="28"/>
          <w:szCs w:val="28"/>
        </w:rPr>
      </w:pPr>
      <w:r>
        <w:rPr>
          <w:rFonts w:hint="eastAsia" w:ascii="宋体" w:hAnsi="宋体"/>
          <w:bCs/>
          <w:color w:val="auto"/>
          <w:sz w:val="28"/>
          <w:szCs w:val="28"/>
        </w:rPr>
        <w:t>我局2020年度项目中</w:t>
      </w:r>
      <w:r>
        <w:rPr>
          <w:rFonts w:hint="eastAsia" w:ascii="宋体" w:hAnsi="宋体"/>
          <w:bCs/>
          <w:color w:val="auto"/>
          <w:kern w:val="21"/>
          <w:sz w:val="28"/>
          <w:szCs w:val="28"/>
        </w:rPr>
        <w:t>财政项目资金和非财政专项资金项目</w:t>
      </w:r>
      <w:r>
        <w:rPr>
          <w:rFonts w:hint="eastAsia" w:ascii="宋体" w:hAnsi="宋体"/>
          <w:bCs/>
          <w:color w:val="auto"/>
          <w:sz w:val="28"/>
          <w:szCs w:val="28"/>
        </w:rPr>
        <w:t>主管部门为我局，项目实施单位为机关</w:t>
      </w:r>
      <w:r>
        <w:rPr>
          <w:rFonts w:hint="eastAsia" w:ascii="宋体" w:hAnsi="宋体"/>
          <w:bCs/>
          <w:color w:val="auto"/>
          <w:kern w:val="21"/>
          <w:sz w:val="28"/>
          <w:szCs w:val="28"/>
        </w:rPr>
        <w:t>各股室、二级机构，项目</w:t>
      </w:r>
      <w:r>
        <w:rPr>
          <w:rFonts w:hint="eastAsia" w:ascii="宋体" w:hAnsi="宋体"/>
          <w:bCs/>
          <w:color w:val="auto"/>
          <w:sz w:val="28"/>
          <w:szCs w:val="28"/>
        </w:rPr>
        <w:t>具体用途为工作经费和具体工程或技术项目，工程或技术具体项目与施工单位签订合同</w:t>
      </w:r>
      <w:r>
        <w:rPr>
          <w:rFonts w:hint="eastAsia" w:ascii="宋体" w:hAnsi="宋体"/>
          <w:bCs/>
          <w:color w:val="auto"/>
          <w:kern w:val="21"/>
          <w:sz w:val="28"/>
          <w:szCs w:val="28"/>
        </w:rPr>
        <w:t xml:space="preserve">，合同采用招投标形式，工程或技术项目完成后提供了成果文件资料,进行了监理、验收、审核、上级确认等工作程序。工作经费经过预算申报、上级部门文件确认和报帐财务审批。实施情况好。                                                                                                                                                                                                 </w:t>
      </w:r>
    </w:p>
    <w:p>
      <w:pPr>
        <w:spacing w:line="440" w:lineRule="exact"/>
        <w:rPr>
          <w:rFonts w:hint="eastAsia" w:ascii="宋体" w:hAnsi="宋体"/>
          <w:bCs/>
          <w:color w:val="auto"/>
          <w:sz w:val="28"/>
          <w:szCs w:val="28"/>
        </w:rPr>
      </w:pPr>
      <w:r>
        <w:rPr>
          <w:rFonts w:hint="eastAsia" w:ascii="宋体" w:hAnsi="宋体"/>
          <w:bCs/>
          <w:color w:val="auto"/>
          <w:sz w:val="28"/>
          <w:szCs w:val="28"/>
        </w:rPr>
        <w:t xml:space="preserve">   （二）项目管理情况及分析</w:t>
      </w:r>
    </w:p>
    <w:p>
      <w:pPr>
        <w:spacing w:line="440" w:lineRule="exact"/>
        <w:ind w:firstLine="560" w:firstLineChars="200"/>
        <w:rPr>
          <w:rFonts w:hint="eastAsia" w:ascii="宋体" w:hAnsi="宋体"/>
          <w:bCs/>
          <w:color w:val="auto"/>
          <w:sz w:val="28"/>
          <w:szCs w:val="28"/>
        </w:rPr>
      </w:pPr>
      <w:r>
        <w:rPr>
          <w:rFonts w:hint="eastAsia" w:ascii="宋体" w:hAnsi="宋体"/>
          <w:bCs/>
          <w:color w:val="auto"/>
          <w:sz w:val="28"/>
          <w:szCs w:val="28"/>
        </w:rPr>
        <w:t>我局2020年度项目资金有组织机构、制度和管理办法，</w:t>
      </w:r>
      <w:r>
        <w:rPr>
          <w:rFonts w:hint="eastAsia" w:ascii="宋体" w:hAnsi="宋体"/>
          <w:bCs/>
          <w:color w:val="auto"/>
          <w:kern w:val="21"/>
          <w:sz w:val="28"/>
          <w:szCs w:val="28"/>
        </w:rPr>
        <w:t>并专门制定了一些工作办法和细则并严格执行。</w:t>
      </w:r>
      <w:r>
        <w:rPr>
          <w:rFonts w:hint="eastAsia" w:ascii="宋体" w:hAnsi="宋体"/>
          <w:bCs/>
          <w:color w:val="auto"/>
          <w:sz w:val="28"/>
          <w:szCs w:val="28"/>
        </w:rPr>
        <w:t>项目由机关</w:t>
      </w:r>
      <w:r>
        <w:rPr>
          <w:rFonts w:hint="eastAsia" w:ascii="宋体" w:hAnsi="宋体"/>
          <w:bCs/>
          <w:color w:val="auto"/>
          <w:kern w:val="21"/>
          <w:sz w:val="28"/>
          <w:szCs w:val="28"/>
        </w:rPr>
        <w:t>各股室、二级机构组织实施和</w:t>
      </w:r>
      <w:r>
        <w:rPr>
          <w:rFonts w:hint="eastAsia" w:ascii="宋体" w:hAnsi="宋体"/>
          <w:bCs/>
          <w:color w:val="auto"/>
          <w:sz w:val="28"/>
          <w:szCs w:val="28"/>
        </w:rPr>
        <w:t>日常监督管理，有关部门不定期检查，按时保质保量同时节约成本费用地完成项目目标，具有长期的经济、生态、环境、社会效益，群众很满意，项目管理情况好。</w:t>
      </w:r>
    </w:p>
    <w:p>
      <w:pPr>
        <w:spacing w:line="440" w:lineRule="exact"/>
        <w:ind w:firstLine="562" w:firstLineChars="200"/>
        <w:rPr>
          <w:rFonts w:hint="eastAsia" w:ascii="宋体" w:hAnsi="宋体"/>
          <w:b/>
          <w:color w:val="auto"/>
          <w:sz w:val="28"/>
          <w:szCs w:val="28"/>
        </w:rPr>
      </w:pPr>
      <w:r>
        <w:rPr>
          <w:rFonts w:hint="eastAsia" w:ascii="宋体" w:hAnsi="宋体"/>
          <w:b/>
          <w:color w:val="auto"/>
          <w:sz w:val="28"/>
          <w:szCs w:val="28"/>
        </w:rPr>
        <w:t>四、部门整体支出绩效情况</w:t>
      </w:r>
    </w:p>
    <w:p>
      <w:pPr>
        <w:spacing w:line="440" w:lineRule="exact"/>
        <w:ind w:firstLine="560" w:firstLineChars="200"/>
        <w:rPr>
          <w:rFonts w:hint="eastAsia" w:ascii="宋体" w:hAnsi="宋体"/>
          <w:color w:val="auto"/>
          <w:sz w:val="28"/>
          <w:szCs w:val="28"/>
        </w:rPr>
      </w:pPr>
      <w:r>
        <w:rPr>
          <w:rFonts w:hint="eastAsia" w:ascii="宋体" w:hAnsi="宋体"/>
          <w:color w:val="auto"/>
          <w:sz w:val="28"/>
          <w:szCs w:val="28"/>
        </w:rPr>
        <w:t>2020年，全县自然资源工作严格贯彻落实县委、县政府和上级主管部门总体工作部署，聚焦主业，主动作为，保障服务职能履职到位，各项工作目标任务圆满完成,具体绩效情况如下：</w:t>
      </w:r>
    </w:p>
    <w:p>
      <w:pPr>
        <w:spacing w:line="440" w:lineRule="exact"/>
        <w:ind w:firstLine="560" w:firstLineChars="200"/>
        <w:rPr>
          <w:rFonts w:hint="eastAsia" w:ascii="宋体" w:hAnsi="宋体"/>
          <w:bCs/>
          <w:color w:val="auto"/>
          <w:kern w:val="21"/>
          <w:sz w:val="28"/>
          <w:szCs w:val="28"/>
        </w:rPr>
      </w:pPr>
      <w:r>
        <w:rPr>
          <w:rFonts w:hint="eastAsia" w:ascii="宋体" w:hAnsi="宋体"/>
          <w:bCs/>
          <w:color w:val="auto"/>
          <w:kern w:val="21"/>
          <w:sz w:val="28"/>
          <w:szCs w:val="28"/>
        </w:rPr>
        <w:t>(一) 经济性（预算）绩效</w:t>
      </w:r>
    </w:p>
    <w:p>
      <w:pPr>
        <w:spacing w:line="440" w:lineRule="exact"/>
        <w:ind w:firstLine="560" w:firstLineChars="200"/>
        <w:rPr>
          <w:rFonts w:hint="eastAsia" w:ascii="宋体" w:hAnsi="宋体"/>
          <w:bCs/>
          <w:color w:val="auto"/>
          <w:kern w:val="21"/>
          <w:sz w:val="28"/>
          <w:szCs w:val="28"/>
        </w:rPr>
      </w:pPr>
      <w:r>
        <w:rPr>
          <w:rFonts w:hint="eastAsia" w:ascii="宋体" w:hAnsi="宋体"/>
          <w:bCs/>
          <w:color w:val="auto"/>
          <w:kern w:val="21"/>
          <w:sz w:val="28"/>
          <w:szCs w:val="28"/>
        </w:rPr>
        <w:t>1、预算配置。</w:t>
      </w:r>
    </w:p>
    <w:p>
      <w:pPr>
        <w:spacing w:line="440" w:lineRule="exact"/>
        <w:ind w:firstLine="560" w:firstLineChars="200"/>
        <w:rPr>
          <w:rFonts w:hint="eastAsia" w:ascii="宋体" w:hAnsi="宋体"/>
          <w:bCs/>
          <w:color w:val="auto"/>
          <w:kern w:val="21"/>
          <w:sz w:val="28"/>
          <w:szCs w:val="28"/>
        </w:rPr>
      </w:pPr>
      <w:r>
        <w:rPr>
          <w:rFonts w:hint="eastAsia" w:ascii="宋体" w:hAnsi="宋体"/>
          <w:bCs/>
          <w:color w:val="auto"/>
          <w:kern w:val="21"/>
          <w:sz w:val="28"/>
          <w:szCs w:val="28"/>
        </w:rPr>
        <w:t>截止2020年12月31日县编办核定我局编制288名，</w:t>
      </w:r>
      <w:r>
        <w:rPr>
          <w:rFonts w:hint="eastAsia" w:ascii="宋体" w:hAnsi="宋体"/>
          <w:bCs/>
          <w:color w:val="auto"/>
          <w:sz w:val="28"/>
          <w:szCs w:val="28"/>
        </w:rPr>
        <w:t>其中全额编制264人，自收自支编制24人</w:t>
      </w:r>
      <w:r>
        <w:rPr>
          <w:rFonts w:hint="eastAsia" w:ascii="宋体" w:hAnsi="宋体"/>
          <w:bCs/>
          <w:color w:val="auto"/>
          <w:kern w:val="21"/>
          <w:sz w:val="28"/>
          <w:szCs w:val="28"/>
        </w:rPr>
        <w:t>；在职人数为288人，在职人员控制率为100%。</w:t>
      </w:r>
    </w:p>
    <w:p>
      <w:pPr>
        <w:spacing w:line="440" w:lineRule="exact"/>
        <w:ind w:firstLine="560" w:firstLineChars="200"/>
        <w:rPr>
          <w:rFonts w:hint="eastAsia" w:ascii="宋体" w:hAnsi="宋体"/>
          <w:bCs/>
          <w:color w:val="auto"/>
          <w:kern w:val="21"/>
          <w:sz w:val="28"/>
          <w:szCs w:val="28"/>
        </w:rPr>
      </w:pPr>
      <w:r>
        <w:rPr>
          <w:rFonts w:hint="eastAsia" w:ascii="宋体" w:hAnsi="宋体"/>
          <w:bCs/>
          <w:color w:val="auto"/>
          <w:kern w:val="21"/>
          <w:sz w:val="28"/>
          <w:szCs w:val="28"/>
        </w:rPr>
        <w:t>2、预算执行</w:t>
      </w:r>
    </w:p>
    <w:p>
      <w:pPr>
        <w:spacing w:line="440" w:lineRule="exact"/>
        <w:ind w:firstLine="560" w:firstLineChars="200"/>
        <w:rPr>
          <w:rFonts w:hint="eastAsia" w:ascii="宋体" w:hAnsi="宋体"/>
          <w:bCs/>
          <w:color w:val="auto"/>
          <w:kern w:val="21"/>
          <w:sz w:val="28"/>
          <w:szCs w:val="28"/>
        </w:rPr>
      </w:pPr>
      <w:r>
        <w:rPr>
          <w:rFonts w:hint="eastAsia" w:ascii="宋体" w:hAnsi="宋体"/>
          <w:bCs/>
          <w:color w:val="auto"/>
          <w:kern w:val="21"/>
          <w:sz w:val="28"/>
          <w:szCs w:val="28"/>
        </w:rPr>
        <w:t>我局2020年预算数为：总预算拨款收入68326.654243万元，实际支出68223.746467万元，结转结余102.907776万元,预算完成率为99.84%。</w:t>
      </w:r>
    </w:p>
    <w:p>
      <w:pPr>
        <w:spacing w:line="440" w:lineRule="exact"/>
        <w:ind w:firstLine="560" w:firstLineChars="200"/>
        <w:rPr>
          <w:rFonts w:hint="eastAsia" w:ascii="宋体" w:hAnsi="宋体"/>
          <w:bCs/>
          <w:color w:val="auto"/>
          <w:kern w:val="21"/>
          <w:sz w:val="28"/>
          <w:szCs w:val="28"/>
        </w:rPr>
      </w:pPr>
      <w:r>
        <w:rPr>
          <w:rFonts w:hint="eastAsia" w:ascii="宋体" w:hAnsi="宋体"/>
          <w:bCs/>
          <w:color w:val="auto"/>
          <w:kern w:val="21"/>
          <w:sz w:val="28"/>
          <w:szCs w:val="28"/>
        </w:rPr>
        <w:t>3、预算管理</w:t>
      </w:r>
    </w:p>
    <w:p>
      <w:pPr>
        <w:spacing w:line="440" w:lineRule="exact"/>
        <w:ind w:firstLine="560" w:firstLineChars="200"/>
        <w:rPr>
          <w:rFonts w:hint="eastAsia" w:ascii="宋体" w:hAnsi="宋体"/>
          <w:bCs/>
          <w:color w:val="auto"/>
          <w:kern w:val="21"/>
          <w:sz w:val="28"/>
          <w:szCs w:val="28"/>
        </w:rPr>
      </w:pPr>
      <w:r>
        <w:rPr>
          <w:rFonts w:hint="eastAsia" w:ascii="宋体" w:hAnsi="宋体"/>
          <w:bCs/>
          <w:color w:val="auto"/>
          <w:kern w:val="21"/>
          <w:sz w:val="28"/>
          <w:szCs w:val="28"/>
        </w:rPr>
        <w:t>我局严格按照国家相关政策条例严格控制支出标准，节减各类不必要支出，严把项目支出关。加强了专项资金监管和部门绩效管理，专项资金和部门整体支出预算绩效目标申报完整规范，资金管理办法规范，及时下拨资金，无违规分配使用财政资金现象，投资评审、政府采购、重点工作、固定资产管理、工程监督验收审核等工作按制度执行，审计和纪检监察部门未发现违法、违规（纪）问题，一般性问题在规定时间内整改到位。</w:t>
      </w:r>
    </w:p>
    <w:p>
      <w:pPr>
        <w:spacing w:line="440" w:lineRule="exact"/>
        <w:ind w:firstLine="560" w:firstLineChars="200"/>
        <w:rPr>
          <w:rFonts w:hint="eastAsia" w:ascii="宋体" w:hAnsi="宋体"/>
          <w:bCs/>
          <w:color w:val="auto"/>
          <w:kern w:val="21"/>
          <w:sz w:val="28"/>
          <w:szCs w:val="28"/>
        </w:rPr>
      </w:pPr>
      <w:r>
        <w:rPr>
          <w:rFonts w:hint="eastAsia" w:ascii="宋体" w:hAnsi="宋体"/>
          <w:bCs/>
          <w:color w:val="auto"/>
          <w:kern w:val="21"/>
          <w:sz w:val="28"/>
          <w:szCs w:val="28"/>
        </w:rPr>
        <w:t>我局厉行节约、严控“三公”经费和公用经费。严格执行厉行节约和反对浪费的有关文件精神，降低行政成本，建立了勤俭节约长效机制，我局“三公”经费有所下降，主要措施：一是主动接受社会的监督，按照上级要求，在规定时间将2020年度部门预算和“三公”经费预算及2019年度部门决算和“三公”经费决算在桃江县公众信息网上进行了公示。二是严控公务用车费用审批，有效降低了公务用车运行维护费用。三是加强内部管理，建立公务接待登记制度，做到无派出单位公函一律不接待，严格控制公务接待标准，无超规格、超标准、超范围接待。</w:t>
      </w:r>
    </w:p>
    <w:p>
      <w:pPr>
        <w:spacing w:line="440" w:lineRule="exact"/>
        <w:ind w:firstLine="560" w:firstLineChars="200"/>
        <w:rPr>
          <w:rFonts w:hint="eastAsia" w:ascii="宋体" w:hAnsi="宋体"/>
          <w:bCs/>
          <w:color w:val="auto"/>
          <w:kern w:val="21"/>
          <w:sz w:val="28"/>
          <w:szCs w:val="28"/>
        </w:rPr>
      </w:pPr>
      <w:r>
        <w:rPr>
          <w:rFonts w:hint="eastAsia" w:ascii="宋体" w:hAnsi="宋体"/>
          <w:bCs/>
          <w:color w:val="auto"/>
          <w:kern w:val="21"/>
          <w:sz w:val="28"/>
          <w:szCs w:val="28"/>
        </w:rPr>
        <w:t>(二) 经济效益、社会效益和行政效益</w:t>
      </w:r>
    </w:p>
    <w:p>
      <w:pPr>
        <w:spacing w:line="594" w:lineRule="exact"/>
        <w:ind w:left="420" w:leftChars="200"/>
        <w:rPr>
          <w:rFonts w:hint="eastAsia" w:ascii="宋体" w:hAnsi="宋体" w:cs="宋体"/>
          <w:b/>
          <w:color w:val="auto"/>
          <w:sz w:val="28"/>
          <w:szCs w:val="28"/>
        </w:rPr>
      </w:pPr>
      <w:r>
        <w:rPr>
          <w:rFonts w:hint="eastAsia" w:ascii="宋体" w:hAnsi="宋体" w:cs="宋体"/>
          <w:b/>
          <w:color w:val="auto"/>
          <w:sz w:val="28"/>
          <w:szCs w:val="28"/>
        </w:rPr>
        <w:t>（1）超额完成了经济指标，有力保障用地需求</w:t>
      </w:r>
    </w:p>
    <w:p>
      <w:pPr>
        <w:spacing w:line="40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 xml:space="preserve">全年计划完成征收非税收入33,359.00万元，实际完成79381万元，完成计划的237.96%。其中：全年办结出让土地分配方案22宗，实现土地出让总价款6.15亿元，完成财政预算计划任务3亿元的205%；土地储备中心储备土地出让分配方案4宗，实现土地出让总价款6220万元,完成财政预算计划任务5000万元的124%。报送立项争资到位数4068万元，占县政府下达任务4000万元的101%。县级耕地开垦费（剔除“旱改水”指标交易款766万元）收入3241万元，完成财政预算计划任务1200万元的270%。执法大队完成罚没收入196万元，完成财政预算计划任务300万元的65%（因7月份起体制调整执法权和罚没收归乡镇故未完成）。征地服务所实现收入1097万元，完成财政预算计划任务269万元的408%。测绘队实现收入281万元，完成财政预算计划任务150万元的187%。税收协控联管方面，控缴增值税460万元、控缴契税3937.58万元、控缴耕地占用税772.929万元、控缴印花税41.9931万元、预扣预缴个人所得所8.6494万元、控缴基本养老保险240.7万元、医疗保险190.58万元、工伤保险14.2682万元、失业保险0.8692万元、收集上报县税控办涉税控税信息2934条，请县税务局对收回国有建设用地使用权相关涉税工作进行了明确，税收征管水平不断向纵深推进。 </w:t>
      </w:r>
    </w:p>
    <w:p>
      <w:pPr>
        <w:spacing w:line="40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全年报批项目用地46宗，批准总用地面积159.1181公顷（2386.7亩），全力保障了全县城镇建设、交通建设、园区建设、产业建设、民生工程建设及“六大百亿产业”等项目用地需求。</w:t>
      </w:r>
    </w:p>
    <w:p>
      <w:pPr>
        <w:spacing w:line="400" w:lineRule="exact"/>
        <w:ind w:left="420" w:leftChars="200"/>
        <w:rPr>
          <w:rFonts w:hint="eastAsia" w:ascii="宋体" w:hAnsi="宋体" w:cs="宋体"/>
          <w:color w:val="auto"/>
          <w:sz w:val="28"/>
          <w:szCs w:val="28"/>
        </w:rPr>
      </w:pPr>
      <w:r>
        <w:rPr>
          <w:rFonts w:hint="eastAsia" w:ascii="宋体" w:hAnsi="宋体" w:cs="宋体"/>
          <w:b/>
          <w:color w:val="auto"/>
          <w:sz w:val="28"/>
          <w:szCs w:val="28"/>
        </w:rPr>
        <w:t>（2）严守耕地红线，落实了保护制度</w:t>
      </w:r>
    </w:p>
    <w:p>
      <w:pPr>
        <w:spacing w:line="40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完成永久基本农田补划及储备区划定工作，补划面积3201公顷，划定储备区面积705公顷。下达大栗港镇五羊坪村等2020年县级耕地占补平衡项目实施计划两批次，规模面积252公顷，预计新增耕地203公顷。完成2017年旱改水项目第二批验收与确认，规模面积208公顷，新增水田180公顷。完成2017年第二批桃江县马迹塘镇九岗塅村等四个耕地占补平衡项目验收确认，确认指标19.7公顷，新增水田5.6公顷。完成桃江县2018年高标准基本农田建设项目，建设规模面积706.7公顷。完成779.7亩旱改水指标交易，交易金额4678万元。完成2019年度一期、二期增减挂钩项目实施与验收，确认周转指标90.7公顷，为目标任务80公顷的113%。完成城乡建设用地增减挂钩资金收入4913万元，完成财政预算计划任务1000万元的491%。</w:t>
      </w:r>
    </w:p>
    <w:p>
      <w:pPr>
        <w:pStyle w:val="2"/>
        <w:spacing w:line="400" w:lineRule="exact"/>
        <w:ind w:firstLine="602" w:firstLineChars="200"/>
        <w:rPr>
          <w:rFonts w:hint="eastAsia" w:ascii="宋体" w:hAnsi="宋体" w:cs="宋体"/>
          <w:b/>
          <w:color w:val="auto"/>
          <w:sz w:val="28"/>
          <w:szCs w:val="28"/>
        </w:rPr>
      </w:pPr>
      <w:r>
        <w:rPr>
          <w:rFonts w:hint="eastAsia" w:ascii="宋体" w:hAnsi="宋体" w:cs="宋体"/>
          <w:b/>
          <w:color w:val="auto"/>
          <w:sz w:val="28"/>
          <w:szCs w:val="28"/>
        </w:rPr>
        <w:t>（3）坚持规划引领、强化了规划管控</w:t>
      </w:r>
    </w:p>
    <w:p>
      <w:pPr>
        <w:spacing w:line="40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提请县人民政府印发《桃江县国土空间总体规划编制（2020-2035年）编制工作方案》、召开全县国土空间规划编制动员大会。完成生态保护红线评估调整方案、城镇开发边界的模拟划定及永久基本农田补划工作。完成国土空间规划大纲编制，《国土空间用途管制研究》等13个专题研究，综合交通等4个专项规划的初步方案，国土空间规划“一张图”实施监督信息系统建设的前期调研工作，以及灰山港镇澄泉湾村等5个“多规合一”试点村庄规划。完成全县第三次国土调查工作，农村新增宅基地摸底调查工作。组织召开各级规划例会22次，审查项目357个。规划调整桃江县脑科医院整体搬迁等17个项目。组织建设项目放样、定位42起，规划核验68起，用地核验55起，针对违法违规项目提出整改方案交执法局处理17起，共收缴补交出让金1060万元。对全县45处批后用地项目进行了现场登记和土地市场动态监测监管系统录入。</w:t>
      </w:r>
    </w:p>
    <w:p>
      <w:pPr>
        <w:pStyle w:val="2"/>
        <w:spacing w:line="400" w:lineRule="exact"/>
        <w:ind w:firstLine="602" w:firstLineChars="200"/>
        <w:rPr>
          <w:rFonts w:hint="eastAsia" w:ascii="宋体" w:hAnsi="宋体" w:cs="宋体"/>
          <w:b/>
          <w:color w:val="auto"/>
          <w:sz w:val="28"/>
          <w:szCs w:val="28"/>
        </w:rPr>
      </w:pPr>
      <w:r>
        <w:rPr>
          <w:rFonts w:hint="eastAsia" w:ascii="宋体" w:hAnsi="宋体" w:cs="宋体"/>
          <w:b/>
          <w:color w:val="auto"/>
          <w:sz w:val="28"/>
          <w:szCs w:val="28"/>
        </w:rPr>
        <w:t xml:space="preserve">（4）有序开发管理矿产资源、有力保护了地质环境  </w:t>
      </w:r>
    </w:p>
    <w:p>
      <w:pPr>
        <w:spacing w:line="40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督促28家矿山企业完成了2019年度采矿权信息网上公示，合格率达到100%。办理矿山企业新立延续变更与注销登记5宗；注销过期采矿权15宗。开展砂石土矿与露天矿山整治，编制《湖南省普通建筑材料用砂石土矿专项整治行动方案（2019-2021年）》并通过省自然资源厅与益阳市人民政府的联合审查。督促6家矿山编制绿色矿山建设方案，其中1家已基本完成建设。完成新设桃江县石洞矿区建筑用板岩矿出让前期工作，鸬鹚渡分水坳板岩矿初步勘查，以及灰山港台山冲砂岩矿勘查与灰山港石灰岩矿专项规划招标工作。全年征收采矿权出让收益1605.6万元，完成财政预算计划任务300万元的537%。</w:t>
      </w:r>
    </w:p>
    <w:p>
      <w:pPr>
        <w:spacing w:line="40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持续完善以县、乡、村、组为基础的群防群测网络系统，全年全县发生地质灾害险情12起，转移受威胁群众11户33 人。组织汛中雨前、雨中、雨后巡查 120 次，应急处置20 处、出具应急调查报告 5份，应急治理8处，连续6年取得地灾防治“人员零伤亡”成效。完成25宗建设用地的地质灾害危险性评估工作、2个合法矿山地质环境阶段性验收及4轮合法矿山地质环境巡查工作。督促实施三堂街镇龙牙坪村八斗组滑坡群地质灾害治理项目、浮邱山乡浮邱山村赵家边山组不稳定斜坡地质灾害治理项目。对露天开采石煤、石料厂等矿山地质环境保护及恢复治理情况进行地毯式巡排查，下达整改通知120份，对非法矿山复绿治理进行销号，全县所有生产矿山企业地质环境保护意识显著提高和恢复治理成效明显改善，得到省市认可。完成地灾评估服务费非税收入收入196万元，为财政预算计划任务100万元的196%。</w:t>
      </w:r>
    </w:p>
    <w:p>
      <w:pPr>
        <w:pStyle w:val="2"/>
        <w:spacing w:line="400" w:lineRule="exact"/>
        <w:ind w:firstLine="602" w:firstLineChars="200"/>
        <w:rPr>
          <w:rFonts w:hint="eastAsia" w:ascii="宋体" w:hAnsi="宋体" w:cs="宋体"/>
          <w:b/>
          <w:color w:val="auto"/>
          <w:sz w:val="28"/>
          <w:szCs w:val="28"/>
        </w:rPr>
      </w:pPr>
      <w:r>
        <w:rPr>
          <w:rFonts w:hint="eastAsia" w:ascii="宋体" w:hAnsi="宋体" w:cs="宋体"/>
          <w:b/>
          <w:color w:val="auto"/>
          <w:sz w:val="28"/>
          <w:szCs w:val="28"/>
        </w:rPr>
        <w:t>（5）加强执法监察力度、开展了专项整治</w:t>
      </w:r>
    </w:p>
    <w:p>
      <w:pPr>
        <w:spacing w:line="40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立案查处违法自然资源违法案件43宗，结案46宗。向人民法院申请强制执行90宗，裁决48宗。严肃推进违建别墅问题清查整改，甄别疑似别墅类用地23宗，其中2宗违建已拆除到位。累计收到部、省卫片图斑914个，面积7296亩，立案查处33宗，非立案处理8宗。累计接到省“月清三地”处置任务14宗，面积45.7亩，截至目前已处置到位5宗30.6亩。完结摸排下发农村乱占耕地建房疑似图斑184829个。严厉整治砂碎石场，对灰山港镇、牛田镇、石牛江镇26家砂石场下达执法文书，关闭非法砂石场10处。处理各类信访举报31宗。开展巡查138次，指导乡镇办理自然资源违法案件23次，会同各乡镇人民政府、公安、安监等开展联合执法行动15次。</w:t>
      </w:r>
    </w:p>
    <w:p>
      <w:pPr>
        <w:pStyle w:val="2"/>
        <w:spacing w:line="400" w:lineRule="exact"/>
        <w:ind w:firstLine="602" w:firstLineChars="200"/>
        <w:rPr>
          <w:rFonts w:hint="eastAsia" w:ascii="宋体" w:hAnsi="宋体" w:cs="宋体"/>
          <w:b/>
          <w:color w:val="auto"/>
          <w:sz w:val="28"/>
          <w:szCs w:val="28"/>
        </w:rPr>
      </w:pPr>
      <w:r>
        <w:rPr>
          <w:rFonts w:hint="eastAsia" w:ascii="宋体" w:hAnsi="宋体" w:cs="宋体"/>
          <w:b/>
          <w:color w:val="auto"/>
          <w:sz w:val="28"/>
          <w:szCs w:val="28"/>
        </w:rPr>
        <w:t>（6）提升政务服务、推进便民工程</w:t>
      </w:r>
    </w:p>
    <w:p>
      <w:pPr>
        <w:spacing w:line="40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深化“放管服”改革，完成29项自然资源权利下放工作及“三集中三到位”整改任务。引用桃江县政务服务+互联网一体化平台，梳理办理事项，保障受理业务在承诺期限内办结或移交，实现零投诉、零超时。组织召开局政务例会4次，业务办结1146件，收取出让金396.7万元。</w:t>
      </w:r>
    </w:p>
    <w:p>
      <w:pPr>
        <w:spacing w:line="400" w:lineRule="exact"/>
        <w:ind w:firstLine="560" w:firstLineChars="200"/>
        <w:rPr>
          <w:rFonts w:hint="eastAsia" w:ascii="宋体" w:hAnsi="宋体" w:cs="宋体"/>
          <w:color w:val="auto"/>
          <w:sz w:val="28"/>
          <w:szCs w:val="28"/>
        </w:rPr>
      </w:pPr>
      <w:r>
        <w:rPr>
          <w:rFonts w:hint="eastAsia" w:ascii="宋体" w:hAnsi="宋体" w:cs="宋体"/>
          <w:color w:val="auto"/>
          <w:sz w:val="28"/>
          <w:szCs w:val="28"/>
        </w:rPr>
        <w:t>根据省、市不动产统一登记便民利民改革实施方案，整合设置不动产登记“综合受理窗口”，全面优化办理流程，压缩登记时限，实现产权、抵押登记均在5个工作日内办结，查封、异议、注销登记即时办结；向广大企业群众开放不动产在线登记系统，实现“零见面，零跑腿”；采购不动产登记信息自助查询机，群众可凭身份证自助查询不动产登记信息；全面提升服务水平，建立健全《首问告知制》《一次性告知制》各类规章制度，推行延时服务、上门服务、预约服务、加急服务等。全年共发放不动产证书37163 本，相关证明7194份。完成不动产登记收费129万元，完成财政预算计划任务40万元的322%。</w:t>
      </w:r>
    </w:p>
    <w:p>
      <w:pPr>
        <w:spacing w:line="440" w:lineRule="exact"/>
        <w:ind w:firstLine="602" w:firstLineChars="200"/>
        <w:rPr>
          <w:rFonts w:hint="eastAsia" w:ascii="宋体" w:hAnsi="宋体" w:cs="宋体"/>
          <w:b/>
          <w:bCs/>
          <w:color w:val="auto"/>
          <w:spacing w:val="10"/>
          <w:sz w:val="28"/>
          <w:szCs w:val="28"/>
        </w:rPr>
      </w:pPr>
      <w:r>
        <w:rPr>
          <w:rFonts w:hint="eastAsia" w:ascii="宋体" w:hAnsi="宋体" w:cs="宋体"/>
          <w:b/>
          <w:bCs/>
          <w:color w:val="auto"/>
          <w:spacing w:val="10"/>
          <w:sz w:val="28"/>
          <w:szCs w:val="28"/>
        </w:rPr>
        <w:t>（7）强化责任担当抓党建，当好了“领头雁”。</w:t>
      </w:r>
    </w:p>
    <w:p>
      <w:pPr>
        <w:spacing w:line="440" w:lineRule="exact"/>
        <w:ind w:firstLine="560" w:firstLineChars="200"/>
        <w:rPr>
          <w:rFonts w:ascii="宋体" w:hAnsi="宋体"/>
          <w:bCs/>
          <w:color w:val="auto"/>
          <w:kern w:val="21"/>
          <w:sz w:val="28"/>
          <w:szCs w:val="28"/>
        </w:rPr>
      </w:pPr>
      <w:r>
        <w:rPr>
          <w:rFonts w:hint="eastAsia" w:ascii="宋体" w:hAnsi="宋体"/>
          <w:bCs/>
          <w:color w:val="auto"/>
          <w:kern w:val="21"/>
          <w:sz w:val="28"/>
          <w:szCs w:val="28"/>
        </w:rPr>
        <w:t>局班子始终</w:t>
      </w:r>
      <w:r>
        <w:rPr>
          <w:rFonts w:ascii="宋体" w:hAnsi="宋体"/>
          <w:bCs/>
          <w:color w:val="auto"/>
          <w:kern w:val="21"/>
          <w:sz w:val="28"/>
          <w:szCs w:val="28"/>
        </w:rPr>
        <w:t>紧紧抓住</w:t>
      </w:r>
      <w:r>
        <w:rPr>
          <w:rFonts w:hint="eastAsia" w:ascii="宋体" w:hAnsi="宋体"/>
          <w:bCs/>
          <w:color w:val="auto"/>
          <w:kern w:val="21"/>
          <w:sz w:val="28"/>
          <w:szCs w:val="28"/>
        </w:rPr>
        <w:t>党建</w:t>
      </w:r>
      <w:r>
        <w:rPr>
          <w:rFonts w:ascii="宋体" w:hAnsi="宋体"/>
          <w:bCs/>
          <w:color w:val="auto"/>
          <w:kern w:val="21"/>
          <w:sz w:val="28"/>
          <w:szCs w:val="28"/>
        </w:rPr>
        <w:t>主体责任落实这个全面从严治党的“牛鼻子”，</w:t>
      </w:r>
      <w:r>
        <w:rPr>
          <w:rFonts w:hint="eastAsia" w:ascii="宋体" w:hAnsi="宋体"/>
          <w:bCs/>
          <w:color w:val="auto"/>
          <w:kern w:val="21"/>
          <w:sz w:val="28"/>
          <w:szCs w:val="28"/>
        </w:rPr>
        <w:t>以抓实主题教育为突破口</w:t>
      </w:r>
      <w:r>
        <w:rPr>
          <w:rFonts w:ascii="宋体" w:hAnsi="宋体"/>
          <w:bCs/>
          <w:color w:val="auto"/>
          <w:kern w:val="21"/>
          <w:sz w:val="28"/>
          <w:szCs w:val="28"/>
        </w:rPr>
        <w:t>，</w:t>
      </w:r>
      <w:r>
        <w:rPr>
          <w:rFonts w:hint="eastAsia" w:ascii="宋体" w:hAnsi="宋体"/>
          <w:bCs/>
          <w:color w:val="auto"/>
          <w:kern w:val="21"/>
          <w:sz w:val="28"/>
          <w:szCs w:val="28"/>
        </w:rPr>
        <w:t>冲锋在前当好“领头雁”，促进全局党建工作跃上新台阶。一是班子带头抓党建，党组书记负责抓总，党组副书记对全局所有支部党建工作实行“一月一调度”，其他班子成员坚持对联点支部工作“一月一检查”，两名班子成员还分别担任机关两个支部的书记。班子成员坚持按党内政治生活准则办事，坚决贯彻民主集中制，严格执行“三重一大”和“三不一末位”制度，重大事项一律集体决策，在落实党的各项政治纪律和规矩方面，班子全体成员始终走在前面并接受所有党员监督。二是加强党员队伍建设，充</w:t>
      </w:r>
      <w:r>
        <w:rPr>
          <w:rFonts w:ascii="宋体" w:hAnsi="宋体"/>
          <w:bCs/>
          <w:color w:val="auto"/>
          <w:kern w:val="21"/>
          <w:sz w:val="28"/>
          <w:szCs w:val="28"/>
        </w:rPr>
        <w:t>分发挥“</w:t>
      </w:r>
      <w:r>
        <w:rPr>
          <w:rFonts w:hint="eastAsia" w:ascii="宋体" w:hAnsi="宋体"/>
          <w:bCs/>
          <w:color w:val="auto"/>
          <w:kern w:val="21"/>
          <w:sz w:val="28"/>
          <w:szCs w:val="28"/>
        </w:rPr>
        <w:t>学习强国</w:t>
      </w:r>
      <w:r>
        <w:rPr>
          <w:rFonts w:ascii="宋体" w:hAnsi="宋体"/>
          <w:bCs/>
          <w:color w:val="auto"/>
          <w:kern w:val="21"/>
          <w:sz w:val="28"/>
          <w:szCs w:val="28"/>
        </w:rPr>
        <w:t>”</w:t>
      </w:r>
      <w:r>
        <w:rPr>
          <w:rFonts w:hint="eastAsia" w:ascii="宋体" w:hAnsi="宋体"/>
          <w:bCs/>
          <w:color w:val="auto"/>
          <w:kern w:val="21"/>
          <w:sz w:val="28"/>
          <w:szCs w:val="28"/>
        </w:rPr>
        <w:t>等</w:t>
      </w:r>
      <w:r>
        <w:rPr>
          <w:rFonts w:ascii="宋体" w:hAnsi="宋体"/>
          <w:bCs/>
          <w:color w:val="auto"/>
          <w:kern w:val="21"/>
          <w:sz w:val="28"/>
          <w:szCs w:val="28"/>
        </w:rPr>
        <w:t>平台作用，组织党员进行学习教育</w:t>
      </w:r>
      <w:r>
        <w:rPr>
          <w:rFonts w:hint="eastAsia" w:ascii="宋体" w:hAnsi="宋体"/>
          <w:bCs/>
          <w:color w:val="auto"/>
          <w:kern w:val="21"/>
          <w:sz w:val="28"/>
          <w:szCs w:val="28"/>
        </w:rPr>
        <w:t>。</w:t>
      </w:r>
      <w:r>
        <w:rPr>
          <w:rFonts w:ascii="宋体" w:hAnsi="宋体"/>
          <w:bCs/>
          <w:color w:val="auto"/>
          <w:kern w:val="21"/>
          <w:sz w:val="28"/>
          <w:szCs w:val="28"/>
        </w:rPr>
        <w:t>严格落实“三会一课”制度，集中组织党员进行学习与考试，每月主题党日</w:t>
      </w:r>
      <w:r>
        <w:rPr>
          <w:rFonts w:hint="eastAsia" w:ascii="宋体" w:hAnsi="宋体"/>
          <w:bCs/>
          <w:color w:val="auto"/>
          <w:kern w:val="21"/>
          <w:sz w:val="28"/>
          <w:szCs w:val="28"/>
        </w:rPr>
        <w:t>开展</w:t>
      </w:r>
      <w:r>
        <w:rPr>
          <w:rFonts w:ascii="宋体" w:hAnsi="宋体"/>
          <w:bCs/>
          <w:color w:val="auto"/>
          <w:kern w:val="21"/>
          <w:sz w:val="28"/>
          <w:szCs w:val="28"/>
        </w:rPr>
        <w:t>党性分析、谈心谈话、激励帮扶等</w:t>
      </w:r>
      <w:r>
        <w:rPr>
          <w:rFonts w:hint="eastAsia" w:ascii="宋体" w:hAnsi="宋体"/>
          <w:bCs/>
          <w:color w:val="auto"/>
          <w:kern w:val="21"/>
          <w:sz w:val="28"/>
          <w:szCs w:val="28"/>
        </w:rPr>
        <w:t>活动。</w:t>
      </w:r>
      <w:r>
        <w:rPr>
          <w:rFonts w:ascii="宋体" w:hAnsi="宋体"/>
          <w:bCs/>
          <w:color w:val="auto"/>
          <w:kern w:val="21"/>
          <w:sz w:val="28"/>
          <w:szCs w:val="28"/>
        </w:rPr>
        <w:t>建立《党建、扶贫工作奖惩办法》，将党建、扶贫工作作为保底性工作纳入绩效考核，凡党建、扶贫</w:t>
      </w:r>
      <w:r>
        <w:rPr>
          <w:rFonts w:hint="eastAsia" w:ascii="宋体" w:hAnsi="宋体"/>
          <w:bCs/>
          <w:color w:val="auto"/>
          <w:kern w:val="21"/>
          <w:sz w:val="28"/>
          <w:szCs w:val="28"/>
        </w:rPr>
        <w:t>处于末位</w:t>
      </w:r>
      <w:r>
        <w:rPr>
          <w:rFonts w:ascii="宋体" w:hAnsi="宋体"/>
          <w:bCs/>
          <w:color w:val="auto"/>
          <w:kern w:val="21"/>
          <w:sz w:val="28"/>
          <w:szCs w:val="28"/>
        </w:rPr>
        <w:t>的单位</w:t>
      </w:r>
      <w:r>
        <w:rPr>
          <w:rFonts w:hint="eastAsia" w:ascii="宋体" w:hAnsi="宋体"/>
          <w:bCs/>
          <w:color w:val="auto"/>
          <w:kern w:val="21"/>
          <w:sz w:val="28"/>
          <w:szCs w:val="28"/>
        </w:rPr>
        <w:t>和个人年终</w:t>
      </w:r>
      <w:r>
        <w:rPr>
          <w:rFonts w:ascii="宋体" w:hAnsi="宋体"/>
          <w:bCs/>
          <w:color w:val="auto"/>
          <w:kern w:val="21"/>
          <w:sz w:val="28"/>
          <w:szCs w:val="28"/>
        </w:rPr>
        <w:t>一律不得评为</w:t>
      </w:r>
      <w:r>
        <w:rPr>
          <w:rFonts w:hint="eastAsia" w:ascii="宋体" w:hAnsi="宋体"/>
          <w:bCs/>
          <w:color w:val="auto"/>
          <w:kern w:val="21"/>
          <w:sz w:val="28"/>
          <w:szCs w:val="28"/>
        </w:rPr>
        <w:t>先进</w:t>
      </w:r>
      <w:r>
        <w:rPr>
          <w:rFonts w:ascii="宋体" w:hAnsi="宋体"/>
          <w:bCs/>
          <w:color w:val="auto"/>
          <w:kern w:val="21"/>
          <w:sz w:val="28"/>
          <w:szCs w:val="28"/>
        </w:rPr>
        <w:t>，</w:t>
      </w:r>
      <w:r>
        <w:rPr>
          <w:rFonts w:hint="eastAsia" w:ascii="宋体" w:hAnsi="宋体"/>
          <w:bCs/>
          <w:color w:val="auto"/>
          <w:kern w:val="21"/>
          <w:sz w:val="28"/>
          <w:szCs w:val="28"/>
        </w:rPr>
        <w:t>多措并举，切实强化了党员队伍的管理。三是抓实主题教育，局班子以党组中心组学习的形式开展了集中学习，各班子成员按照计划依次领学相关内容。召开班子集中研讨，班子成员提交交流发言。扎实开展调研与问题查摆工作，班子成员上交专题调研文章，查摆各类问题。此外，局党组书记给全系统党员讲授主题教育专题党课；其余班子成员分别到各自联系支部讲授主题教育专题党课并同步与各基层支部党员开展了谈心谈话。</w:t>
      </w:r>
    </w:p>
    <w:p>
      <w:pPr>
        <w:spacing w:line="440" w:lineRule="exact"/>
        <w:ind w:firstLine="602" w:firstLineChars="200"/>
        <w:rPr>
          <w:rFonts w:hint="eastAsia" w:ascii="宋体" w:hAnsi="宋体" w:cs="宋体"/>
          <w:b/>
          <w:bCs/>
          <w:color w:val="auto"/>
          <w:spacing w:val="10"/>
          <w:sz w:val="28"/>
          <w:szCs w:val="28"/>
        </w:rPr>
      </w:pPr>
      <w:r>
        <w:rPr>
          <w:rFonts w:hint="eastAsia" w:ascii="宋体" w:hAnsi="宋体" w:cs="宋体"/>
          <w:b/>
          <w:bCs/>
          <w:color w:val="auto"/>
          <w:spacing w:val="10"/>
          <w:sz w:val="28"/>
          <w:szCs w:val="28"/>
        </w:rPr>
        <w:t>（8）把牢意识形态抓引导，用好了“指挥棒”。</w:t>
      </w:r>
    </w:p>
    <w:p>
      <w:pPr>
        <w:spacing w:line="440" w:lineRule="exact"/>
        <w:ind w:firstLine="560" w:firstLineChars="200"/>
        <w:rPr>
          <w:rFonts w:ascii="宋体" w:hAnsi="宋体"/>
          <w:bCs/>
          <w:color w:val="auto"/>
          <w:kern w:val="21"/>
          <w:sz w:val="28"/>
          <w:szCs w:val="28"/>
        </w:rPr>
      </w:pPr>
      <w:r>
        <w:rPr>
          <w:rFonts w:hint="eastAsia" w:ascii="宋体" w:hAnsi="宋体"/>
          <w:bCs/>
          <w:color w:val="auto"/>
          <w:kern w:val="21"/>
          <w:sz w:val="28"/>
          <w:szCs w:val="28"/>
        </w:rPr>
        <w:t>局班子始终</w:t>
      </w:r>
      <w:r>
        <w:rPr>
          <w:rFonts w:ascii="宋体" w:hAnsi="宋体"/>
          <w:bCs/>
          <w:color w:val="auto"/>
          <w:kern w:val="21"/>
          <w:sz w:val="28"/>
          <w:szCs w:val="28"/>
        </w:rPr>
        <w:t>坚持以习近平新时代中国特色社会主义思想为指引，</w:t>
      </w:r>
      <w:r>
        <w:rPr>
          <w:rFonts w:hint="eastAsia" w:ascii="宋体" w:hAnsi="宋体"/>
          <w:bCs/>
          <w:color w:val="auto"/>
          <w:kern w:val="21"/>
          <w:sz w:val="28"/>
          <w:szCs w:val="28"/>
        </w:rPr>
        <w:t>以强化舆论引导为突破口，高举</w:t>
      </w:r>
      <w:r>
        <w:rPr>
          <w:rFonts w:ascii="宋体" w:hAnsi="宋体"/>
          <w:bCs/>
          <w:color w:val="auto"/>
          <w:kern w:val="21"/>
          <w:sz w:val="28"/>
          <w:szCs w:val="28"/>
        </w:rPr>
        <w:t>党对意识形态工作的</w:t>
      </w:r>
      <w:r>
        <w:rPr>
          <w:rFonts w:hint="eastAsia" w:ascii="宋体" w:hAnsi="宋体"/>
          <w:bCs/>
          <w:color w:val="auto"/>
          <w:kern w:val="21"/>
          <w:sz w:val="28"/>
          <w:szCs w:val="28"/>
        </w:rPr>
        <w:t>“指挥棒”</w:t>
      </w:r>
      <w:r>
        <w:rPr>
          <w:rFonts w:ascii="宋体" w:hAnsi="宋体"/>
          <w:bCs/>
          <w:color w:val="auto"/>
          <w:kern w:val="21"/>
          <w:sz w:val="28"/>
          <w:szCs w:val="28"/>
        </w:rPr>
        <w:t>，</w:t>
      </w:r>
      <w:r>
        <w:rPr>
          <w:rFonts w:hint="eastAsia" w:ascii="宋体" w:hAnsi="宋体"/>
          <w:bCs/>
          <w:color w:val="auto"/>
          <w:kern w:val="21"/>
          <w:sz w:val="28"/>
          <w:szCs w:val="28"/>
        </w:rPr>
        <w:t>引导全系统干职工积极参与正面宣传</w:t>
      </w:r>
      <w:r>
        <w:rPr>
          <w:rFonts w:ascii="宋体" w:hAnsi="宋体"/>
          <w:bCs/>
          <w:color w:val="auto"/>
          <w:kern w:val="21"/>
          <w:sz w:val="28"/>
          <w:szCs w:val="28"/>
        </w:rPr>
        <w:t>。</w:t>
      </w:r>
      <w:r>
        <w:rPr>
          <w:rFonts w:hint="eastAsia" w:ascii="宋体" w:hAnsi="宋体"/>
          <w:bCs/>
          <w:color w:val="auto"/>
          <w:kern w:val="21"/>
          <w:sz w:val="28"/>
          <w:szCs w:val="28"/>
        </w:rPr>
        <w:t>一是强化研究部署，局班子多次召开专题会议研究部署意识形态、网信等工作，出台《桃江县自然资源局2020年度意识形态工作计划》、《桃江县自然资源局2020年度意识形态工作责任制考核办法》等制度文件，形成“一把手抓总，分管班子成员督导各线，局属单位负责人具体抓落实”的工作架构,全系统意识形态工作机制体制进一步完善。二是强化理论武装，局班子主动强化自身理论建设，制定实施《桃江县自然资源局党组理论学习中心组学习制度》，1-12月，累计开展党组中心组学习研讨12次，内容涵盖习近平总书记对湖南工作指示精神、扫黑除恶专项斗争等8大主题20项具体内容。三是强化舆论引导，在全系统组建起一支人数达48人的通讯员、网宣员队伍，积极开展舆论引导和部门形象宣传，累计在各级媒体发布正面宣传稿件75篇，四是强化文明创建工作，制定《桃江县自然资源局社会主义核心价值观宣传方案》，制作永久性宣传栏2个、悬挂公益宣传广告牌5块，组织全民清洁卫生日活动12次，开展网格化巡查、交通文明劝导420人次，推荐“好人线索”120条，完成志愿者（义工）注册220人。</w:t>
      </w:r>
    </w:p>
    <w:p>
      <w:pPr>
        <w:spacing w:line="440" w:lineRule="exact"/>
        <w:ind w:firstLine="602" w:firstLineChars="200"/>
        <w:rPr>
          <w:rFonts w:hint="eastAsia" w:ascii="宋体" w:hAnsi="宋体" w:cs="宋体"/>
          <w:b/>
          <w:bCs/>
          <w:color w:val="auto"/>
          <w:spacing w:val="10"/>
          <w:sz w:val="28"/>
          <w:szCs w:val="28"/>
        </w:rPr>
      </w:pPr>
      <w:r>
        <w:rPr>
          <w:rFonts w:hint="eastAsia" w:ascii="宋体" w:hAnsi="宋体" w:cs="宋体"/>
          <w:b/>
          <w:bCs/>
          <w:color w:val="auto"/>
          <w:spacing w:val="10"/>
          <w:sz w:val="28"/>
          <w:szCs w:val="28"/>
        </w:rPr>
        <w:t>（9）强化党风廉政抓作风，架好了“高压线”。</w:t>
      </w:r>
    </w:p>
    <w:p>
      <w:pPr>
        <w:spacing w:line="440" w:lineRule="exact"/>
        <w:ind w:firstLine="560" w:firstLineChars="200"/>
        <w:rPr>
          <w:rFonts w:ascii="宋体" w:hAnsi="宋体"/>
          <w:bCs/>
          <w:color w:val="auto"/>
          <w:kern w:val="21"/>
          <w:sz w:val="28"/>
          <w:szCs w:val="28"/>
        </w:rPr>
      </w:pPr>
      <w:r>
        <w:rPr>
          <w:rFonts w:hint="eastAsia" w:ascii="宋体" w:hAnsi="宋体"/>
          <w:bCs/>
          <w:color w:val="auto"/>
          <w:kern w:val="21"/>
          <w:sz w:val="28"/>
          <w:szCs w:val="28"/>
        </w:rPr>
        <w:t>局班子始终坚信</w:t>
      </w:r>
      <w:r>
        <w:rPr>
          <w:rFonts w:ascii="宋体" w:hAnsi="宋体"/>
          <w:bCs/>
          <w:color w:val="auto"/>
          <w:kern w:val="21"/>
          <w:sz w:val="28"/>
          <w:szCs w:val="28"/>
        </w:rPr>
        <w:t>党风廉政建设</w:t>
      </w:r>
      <w:r>
        <w:rPr>
          <w:rFonts w:hint="eastAsia" w:ascii="宋体" w:hAnsi="宋体"/>
          <w:bCs/>
          <w:color w:val="auto"/>
          <w:kern w:val="21"/>
          <w:sz w:val="28"/>
          <w:szCs w:val="28"/>
        </w:rPr>
        <w:t>是自然资源事业发展的</w:t>
      </w:r>
      <w:r>
        <w:rPr>
          <w:rFonts w:ascii="宋体" w:hAnsi="宋体"/>
          <w:bCs/>
          <w:color w:val="auto"/>
          <w:kern w:val="21"/>
          <w:sz w:val="28"/>
          <w:szCs w:val="28"/>
        </w:rPr>
        <w:t>生命线，</w:t>
      </w:r>
      <w:r>
        <w:rPr>
          <w:rFonts w:hint="eastAsia" w:ascii="宋体" w:hAnsi="宋体"/>
          <w:bCs/>
          <w:color w:val="auto"/>
          <w:kern w:val="21"/>
          <w:sz w:val="28"/>
          <w:szCs w:val="28"/>
        </w:rPr>
        <w:t>以作风建设为突破口</w:t>
      </w:r>
      <w:r>
        <w:rPr>
          <w:rFonts w:ascii="宋体" w:hAnsi="宋体"/>
          <w:bCs/>
          <w:color w:val="auto"/>
          <w:kern w:val="21"/>
          <w:sz w:val="28"/>
          <w:szCs w:val="28"/>
        </w:rPr>
        <w:t>，</w:t>
      </w:r>
      <w:r>
        <w:rPr>
          <w:rFonts w:hint="eastAsia" w:ascii="宋体" w:hAnsi="宋体"/>
          <w:bCs/>
          <w:color w:val="auto"/>
          <w:kern w:val="21"/>
          <w:sz w:val="28"/>
          <w:szCs w:val="28"/>
        </w:rPr>
        <w:t>架起党纪国法的“高压线”，持续营造风清气正的干事创业氛围。一是切实履行“一岗双责”，局班子会议每半年至少研究一次党风廉政建设和反腐败工作，班子成员在系统内各项会议中将做到党风廉政建设“逢会必讲”，在日常工作中做到了中心工作与党风廉政建设工作同部署、同考核，“一岗双责”工作责任落到了实处。二是切实强化宣传教育，积极组织廉政宣传，借助短信、微信、QQ等平台累计发布廉政短消息12批次200多条。扎实开展“刹人情”歪风专项整治，签定严禁办理“升学宴”、“谢师宴”承诺书6份，签订事前事后报告9份。抓实抓牢警示预防，组织全系统党员到益阳市廉政教育基地接受警示教育，汇总《心得体会》70份，对违规违纪思想苗头进行了有效震慑。三是切实强化监督问责，开展上下班作风纪律督查10次，发布督查通报4期，提醒谈话30人。积极运用“第一形态”抓早抓小，累计开展“第一形态”谈话60人次（其中诫勉谈话5人次），立案查处违规公车私用问题1起，给予党内警告处分1人。</w:t>
      </w:r>
    </w:p>
    <w:p>
      <w:pPr>
        <w:spacing w:line="440" w:lineRule="exact"/>
        <w:ind w:firstLine="602" w:firstLineChars="200"/>
        <w:rPr>
          <w:rFonts w:hint="eastAsia" w:ascii="宋体" w:hAnsi="宋体" w:cs="宋体"/>
          <w:b/>
          <w:bCs/>
          <w:color w:val="auto"/>
          <w:spacing w:val="10"/>
          <w:sz w:val="28"/>
          <w:szCs w:val="28"/>
        </w:rPr>
      </w:pPr>
      <w:r>
        <w:rPr>
          <w:rFonts w:hint="eastAsia" w:ascii="宋体" w:hAnsi="宋体" w:cs="宋体"/>
          <w:b/>
          <w:bCs/>
          <w:color w:val="auto"/>
          <w:spacing w:val="10"/>
          <w:sz w:val="28"/>
          <w:szCs w:val="28"/>
        </w:rPr>
        <w:t>（10）夯实业务基础抓服务，种好了“责任田”。</w:t>
      </w:r>
    </w:p>
    <w:p>
      <w:pPr>
        <w:spacing w:line="440" w:lineRule="exact"/>
        <w:ind w:firstLine="560" w:firstLineChars="200"/>
        <w:rPr>
          <w:rFonts w:hint="eastAsia" w:ascii="宋体" w:hAnsi="宋体"/>
          <w:bCs/>
          <w:color w:val="auto"/>
          <w:kern w:val="21"/>
          <w:sz w:val="28"/>
          <w:szCs w:val="28"/>
        </w:rPr>
      </w:pPr>
      <w:r>
        <w:rPr>
          <w:rFonts w:hint="eastAsia" w:ascii="宋体" w:hAnsi="宋体"/>
          <w:bCs/>
          <w:color w:val="auto"/>
          <w:kern w:val="21"/>
          <w:sz w:val="28"/>
          <w:szCs w:val="28"/>
        </w:rPr>
        <w:t>局班子始终坚持服务全县高质量发展大局</w:t>
      </w:r>
      <w:r>
        <w:rPr>
          <w:rFonts w:ascii="宋体" w:hAnsi="宋体"/>
          <w:bCs/>
          <w:color w:val="auto"/>
          <w:kern w:val="21"/>
          <w:sz w:val="28"/>
          <w:szCs w:val="28"/>
        </w:rPr>
        <w:t>，</w:t>
      </w:r>
      <w:r>
        <w:rPr>
          <w:rFonts w:hint="eastAsia" w:ascii="宋体" w:hAnsi="宋体"/>
          <w:bCs/>
          <w:color w:val="auto"/>
          <w:kern w:val="21"/>
          <w:sz w:val="28"/>
          <w:szCs w:val="28"/>
        </w:rPr>
        <w:t>以要素保障能力建设为突破口</w:t>
      </w:r>
      <w:r>
        <w:rPr>
          <w:rFonts w:ascii="宋体" w:hAnsi="宋体"/>
          <w:bCs/>
          <w:color w:val="auto"/>
          <w:kern w:val="21"/>
          <w:sz w:val="28"/>
          <w:szCs w:val="28"/>
        </w:rPr>
        <w:t>，</w:t>
      </w:r>
      <w:r>
        <w:rPr>
          <w:rFonts w:hint="eastAsia" w:ascii="宋体" w:hAnsi="宋体"/>
          <w:bCs/>
          <w:color w:val="auto"/>
          <w:kern w:val="21"/>
          <w:sz w:val="28"/>
          <w:szCs w:val="28"/>
        </w:rPr>
        <w:t>聚焦主业，精耕细作“责任田”，为县域经济社会各项事业全面发展做出了突出贡献。一是要素保障全面到位，</w:t>
      </w:r>
      <w:r>
        <w:rPr>
          <w:rFonts w:hint="eastAsia" w:ascii="宋体" w:hAnsi="宋体" w:cs="宋体"/>
          <w:color w:val="auto"/>
          <w:sz w:val="28"/>
          <w:szCs w:val="28"/>
        </w:rPr>
        <w:t>全年办结出让土地分配方案（剔除自行储备土地4宗、城建投融资土地5宗）22宗，实现土地出让总价款6.15亿元，完成财政预算计划任务3亿元的205%；土地储备中心储备土地出让分配方案4宗，实现土地出让总价款6220万元,完成财政预算计划任务5000万元的124%。</w:t>
      </w:r>
      <w:r>
        <w:rPr>
          <w:rFonts w:hint="eastAsia" w:ascii="宋体" w:hAnsi="宋体"/>
          <w:bCs/>
          <w:color w:val="auto"/>
          <w:kern w:val="21"/>
          <w:sz w:val="28"/>
          <w:szCs w:val="28"/>
        </w:rPr>
        <w:t>启动桃江县国土空间总体规划编制各项前期工作、启动全县村庄规划编制工作。完成生态保护红线优化调整、城镇开发边界模拟划定。完成第三次全国国土调查的外业调查与内业核查，获得国家三调办的高度认可。完成县城棚户区改造、常益长高铁等县内重点建设项目。二是耕地保护坚实有力。完成2019年度城乡建设用地增减挂钩项目验收确认，新增耕地67.9119公顷。三是资源管理更加有序。督促矿山企业完成采矿权信息网上公示，合格率达100%。办理矿山企业新立、延续、变更与注销登记。</w:t>
      </w:r>
      <w:r>
        <w:rPr>
          <w:rFonts w:ascii="宋体" w:hAnsi="宋体"/>
          <w:bCs/>
          <w:color w:val="auto"/>
          <w:kern w:val="21"/>
          <w:sz w:val="28"/>
          <w:szCs w:val="28"/>
        </w:rPr>
        <w:t>立案查处土地矿产违法案件。开展全县打击非法开采山砂山石专项整治“利剑行动”，对全县非法采点进行了查处、封堵和复绿</w:t>
      </w:r>
      <w:r>
        <w:rPr>
          <w:rFonts w:hint="eastAsia" w:ascii="宋体" w:hAnsi="宋体"/>
          <w:bCs/>
          <w:color w:val="auto"/>
          <w:kern w:val="21"/>
          <w:sz w:val="28"/>
          <w:szCs w:val="28"/>
        </w:rPr>
        <w:t>、</w:t>
      </w:r>
      <w:r>
        <w:rPr>
          <w:rFonts w:ascii="宋体" w:hAnsi="宋体"/>
          <w:bCs/>
          <w:color w:val="auto"/>
          <w:kern w:val="21"/>
          <w:sz w:val="28"/>
          <w:szCs w:val="28"/>
        </w:rPr>
        <w:t>移送公安机关立案调查。严肃推进全县违建别墅问题清查整治工作。全面推进卫片执法检查问题整改，通过年度卫片执法检查。</w:t>
      </w:r>
      <w:r>
        <w:rPr>
          <w:rFonts w:hint="eastAsia" w:ascii="宋体" w:hAnsi="宋体"/>
          <w:bCs/>
          <w:color w:val="auto"/>
          <w:kern w:val="21"/>
          <w:sz w:val="28"/>
          <w:szCs w:val="28"/>
        </w:rPr>
        <w:t>四是服务民生更为高效。取得了地灾防治“人员零伤亡”的成效。不动产登记业务流程进一步精简、办结时限进一步压缩，不动产登记历史遗留问题得到妥善解决，群众满意度持续提升。</w:t>
      </w:r>
    </w:p>
    <w:p>
      <w:pPr>
        <w:spacing w:line="440" w:lineRule="exact"/>
        <w:ind w:firstLine="602" w:firstLineChars="200"/>
        <w:rPr>
          <w:rFonts w:hint="eastAsia" w:ascii="宋体" w:hAnsi="宋体" w:cs="宋体"/>
          <w:b/>
          <w:bCs/>
          <w:color w:val="auto"/>
          <w:spacing w:val="10"/>
          <w:sz w:val="28"/>
          <w:szCs w:val="28"/>
        </w:rPr>
      </w:pPr>
      <w:r>
        <w:rPr>
          <w:rFonts w:hint="eastAsia" w:ascii="宋体" w:hAnsi="宋体" w:cs="宋体"/>
          <w:b/>
          <w:bCs/>
          <w:color w:val="auto"/>
          <w:spacing w:val="10"/>
          <w:sz w:val="28"/>
          <w:szCs w:val="28"/>
        </w:rPr>
        <w:t>（11）正视突出问题抓整改，提升“驱动力”。</w:t>
      </w:r>
    </w:p>
    <w:p>
      <w:pPr>
        <w:spacing w:line="440" w:lineRule="exact"/>
        <w:ind w:firstLine="560" w:firstLineChars="200"/>
        <w:rPr>
          <w:rFonts w:hint="eastAsia" w:ascii="宋体" w:hAnsi="宋体"/>
          <w:bCs/>
          <w:color w:val="auto"/>
          <w:kern w:val="21"/>
          <w:sz w:val="28"/>
          <w:szCs w:val="28"/>
        </w:rPr>
      </w:pPr>
      <w:r>
        <w:rPr>
          <w:rFonts w:hint="eastAsia" w:ascii="宋体" w:hAnsi="宋体"/>
          <w:bCs/>
          <w:color w:val="auto"/>
          <w:kern w:val="21"/>
          <w:sz w:val="28"/>
          <w:szCs w:val="28"/>
        </w:rPr>
        <w:t>通过局班子和全系统干职工的共同努力，2020年的工作虽取得了一定成绩，但与上级的要求和自然资源事业发展的需要还存在差距，主要表现为：工作创新意识不强，随着任职时间的增加，部分班子成员工作中有“经验主义”的苗头，对各项新政策、新要求研究不够深入，缺乏冲劲和闯劲，工作原地踏步，不能创造性的开展工作。干部教育管理不严，对于干职工的管理重制度建设，对一些轻微问题，部分班子成员站在讲面子、讲感情的立场，轻查处惩戒，说教多、追责少，导致纪律的威慑力下降。廉政建设力度不够，对落实党风廉政建设工作的重要性和紧迫性认识是到位的，但部分班子成员在遇到急、难、重业务工作时，存在“业务至上”的思维误区，存在习惯性将党风廉政工作靠后安排、靠后落实的现象，通过对上述突出问题限时抓整改，提升我局“驱动力”。</w:t>
      </w:r>
    </w:p>
    <w:p>
      <w:pPr>
        <w:spacing w:line="440" w:lineRule="exact"/>
        <w:ind w:left="560"/>
        <w:rPr>
          <w:rFonts w:hint="eastAsia" w:ascii="宋体" w:hAnsi="宋体" w:cs="宋体"/>
          <w:b/>
          <w:bCs/>
          <w:color w:val="auto"/>
          <w:spacing w:val="10"/>
          <w:sz w:val="28"/>
          <w:szCs w:val="28"/>
        </w:rPr>
      </w:pPr>
      <w:r>
        <w:rPr>
          <w:rFonts w:hint="eastAsia" w:ascii="宋体" w:hAnsi="宋体" w:cs="宋体"/>
          <w:b/>
          <w:bCs/>
          <w:color w:val="auto"/>
          <w:spacing w:val="10"/>
          <w:sz w:val="28"/>
          <w:szCs w:val="28"/>
        </w:rPr>
        <w:t>（12）全力推进增减挂钩工作，成效显著。</w:t>
      </w:r>
    </w:p>
    <w:p>
      <w:pPr>
        <w:spacing w:line="440" w:lineRule="exact"/>
        <w:ind w:firstLine="560" w:firstLineChars="200"/>
        <w:rPr>
          <w:rFonts w:hint="eastAsia" w:ascii="宋体" w:hAnsi="宋体"/>
          <w:bCs/>
          <w:color w:val="auto"/>
          <w:kern w:val="21"/>
          <w:sz w:val="28"/>
          <w:szCs w:val="28"/>
        </w:rPr>
      </w:pPr>
      <w:r>
        <w:rPr>
          <w:rFonts w:hint="eastAsia" w:ascii="宋体" w:hAnsi="宋体"/>
          <w:bCs/>
          <w:color w:val="auto"/>
          <w:kern w:val="21"/>
          <w:sz w:val="28"/>
          <w:szCs w:val="28"/>
        </w:rPr>
        <w:t>遵循“政府主导、部门主力、乡村主推、群众主体”的模式。县自然资源局负责业务指导和技术监管，乡镇为城乡建设用地增减挂钩项目拆旧复垦实施主体。县委政府把城乡建设用地增减挂钩纳入县政府重点工作目标管理。一是职责分工分组。将增减挂钩办公室人员集中办公，统一管理，细分成综合协调、办公信息、资料整理、现场督导四个小组。各小组分工协作，各负其责，各司其职。二是区块到岗到人。项目工程实施启动后，将增减挂钩办公室所有人员全部捆绑到乡镇到地块。同乡镇专抓人员、技术单位技术员、监理单位监理员同吃同住全力以赴一起开展城乡建设用地增减挂钩工作。及时完善了2020年城乡建设用地增减挂钩项目相关资料及落实后续资金发放与新增耕地耕种管理，保障各类奖补资金及时足额发放到位，督促落实好相关耕种措施，确保新增耕地种植，农户增收，项目取得实效。</w:t>
      </w:r>
    </w:p>
    <w:p>
      <w:pPr>
        <w:spacing w:line="440" w:lineRule="exact"/>
        <w:ind w:firstLine="301" w:firstLineChars="100"/>
        <w:rPr>
          <w:rFonts w:hint="eastAsia" w:ascii="宋体" w:hAnsi="宋体" w:cs="宋体"/>
          <w:b/>
          <w:bCs/>
          <w:color w:val="auto"/>
          <w:spacing w:val="10"/>
          <w:sz w:val="28"/>
          <w:szCs w:val="28"/>
        </w:rPr>
      </w:pPr>
      <w:r>
        <w:rPr>
          <w:rFonts w:hint="eastAsia" w:ascii="宋体" w:hAnsi="宋体" w:cs="宋体"/>
          <w:b/>
          <w:bCs/>
          <w:color w:val="auto"/>
          <w:spacing w:val="10"/>
          <w:sz w:val="28"/>
          <w:szCs w:val="28"/>
        </w:rPr>
        <w:t>（13）真抓实干扶贫攻坚，挑起扶贫重担。</w:t>
      </w:r>
    </w:p>
    <w:p>
      <w:pPr>
        <w:spacing w:line="440" w:lineRule="exact"/>
        <w:ind w:firstLine="560" w:firstLineChars="200"/>
        <w:rPr>
          <w:rFonts w:hint="eastAsia" w:ascii="宋体" w:hAnsi="宋体"/>
          <w:bCs/>
          <w:color w:val="auto"/>
          <w:sz w:val="28"/>
          <w:szCs w:val="28"/>
        </w:rPr>
      </w:pPr>
      <w:r>
        <w:rPr>
          <w:rFonts w:hint="eastAsia" w:ascii="宋体" w:hAnsi="宋体"/>
          <w:bCs/>
          <w:color w:val="auto"/>
          <w:kern w:val="21"/>
          <w:sz w:val="28"/>
          <w:szCs w:val="28"/>
        </w:rPr>
        <w:t>一是基础工作进一步得到夯实。对危房改造和易地扶贫搬迁资料不全、资金拨付不到位、存在识别不准、把关不严等问题，进行及时整改；对驻村和结对帮扶责任压实到位，结对帮扶实现全覆盖，驻村工作严格走访三个“一”要求，坚持做到“一月一走访、一月一上报、一月一清零”；认真组织帮扶干部开展三核实工作，并就三核实过程中发现的基本信息有误、帮扶措施不精准、收入核算不实等问题进行修改，确保贫困户档册资料和扶贫系统信息更加精准，同时建立健全了劳务输出、易地扶贫搬迁、危房改造、教育助学、健康扶贫等各类台账；结对帮扶干部紧紧围绕“一超过、两不愁、三保障”目标，因户施策。如鼓励和引导贫困人员外出务工，教育救助帮扶贫困学生，教育帮扶实现全覆盖，无一辍学现象，安排无房户和C、D级危房改造，住房安全得到有效保障，对缺技术对象，申报劳动技能培训和柑橘、油茶等种植和养殖技术培训等；扶贫先励志，通过宣传栏、制作固定宣传标语、结对帮扶入户宣传和送文化下乡活动（举办文艺汇演）等，鼓励贫困户积极甩掉贫困帽子。二是基础建设得到全面推进。为加快推进扶贫村“一确保、两完善”工作进程，积极申报项目，争取项目资金。三是产业发展扶贫成效明显。通过各村产业扶贫效益明显提高。四是基层党建工作进一步加强。严格落实“三会一课”制度，切实加强党的理论知识学习和对党员的日常管理；坚持“成熟一个发展一个”的原则，积极发展年轻党员和选拔年级后备干部；投入资金建村级综合服务平台及附属设施，配齐办公设备。 </w:t>
      </w:r>
    </w:p>
    <w:p>
      <w:pPr>
        <w:spacing w:line="440" w:lineRule="exact"/>
        <w:ind w:firstLine="602" w:firstLineChars="200"/>
        <w:rPr>
          <w:rFonts w:hint="eastAsia" w:ascii="宋体" w:hAnsi="宋体" w:cs="宋体"/>
          <w:b/>
          <w:bCs/>
          <w:color w:val="auto"/>
          <w:spacing w:val="10"/>
          <w:sz w:val="28"/>
          <w:szCs w:val="28"/>
        </w:rPr>
      </w:pPr>
      <w:r>
        <w:rPr>
          <w:rFonts w:hint="eastAsia" w:ascii="宋体" w:hAnsi="宋体" w:cs="宋体"/>
          <w:b/>
          <w:bCs/>
          <w:color w:val="auto"/>
          <w:spacing w:val="10"/>
          <w:sz w:val="28"/>
          <w:szCs w:val="28"/>
        </w:rPr>
        <w:t>（14）严格执行专项资金规定和办法，从严监管专项资金。</w:t>
      </w:r>
    </w:p>
    <w:p>
      <w:pPr>
        <w:spacing w:line="440" w:lineRule="exact"/>
        <w:ind w:firstLine="560" w:firstLineChars="200"/>
        <w:rPr>
          <w:rFonts w:hint="eastAsia" w:ascii="宋体" w:hAnsi="宋体" w:cs="宋体"/>
          <w:b/>
          <w:color w:val="auto"/>
          <w:sz w:val="28"/>
          <w:szCs w:val="28"/>
        </w:rPr>
      </w:pPr>
      <w:r>
        <w:rPr>
          <w:rFonts w:hint="eastAsia" w:ascii="宋体" w:hAnsi="宋体"/>
          <w:bCs/>
          <w:color w:val="auto"/>
          <w:kern w:val="21"/>
          <w:sz w:val="28"/>
          <w:szCs w:val="28"/>
        </w:rPr>
        <w:t>近几年，我局专项工作越来越多，资金数额越来越大，为管好用好各类专项资金，确保资金安全，充分发挥财务会审及项目资金审核制度作用。根据相关专项资金绩效目标、专项资金及项目管理办法和我局《内部审计制度》及《财务管理制度》，健全了支出会审制度，分别在县农行、建设银行开设了项目资金专户，严格实行专户储存，分账核算，专款专用。项目工程及服务均按政府采购与招投标法要求执行，实施程序合法，过程公开透明，资金使用合理，工程进展顺利。通过市局、纪委、审计等多个部门多批次检查，得到了积极肯定。</w:t>
      </w:r>
    </w:p>
    <w:p>
      <w:pPr>
        <w:spacing w:line="440" w:lineRule="exact"/>
        <w:ind w:firstLine="562" w:firstLineChars="200"/>
        <w:rPr>
          <w:rFonts w:hint="eastAsia" w:ascii="宋体" w:hAnsi="宋体" w:cs="宋体"/>
          <w:b/>
          <w:color w:val="auto"/>
          <w:sz w:val="28"/>
          <w:szCs w:val="28"/>
        </w:rPr>
      </w:pPr>
      <w:r>
        <w:rPr>
          <w:rFonts w:hint="eastAsia" w:ascii="宋体" w:hAnsi="宋体" w:cs="宋体"/>
          <w:b/>
          <w:color w:val="auto"/>
          <w:sz w:val="28"/>
          <w:szCs w:val="28"/>
        </w:rPr>
        <w:t>五、绩效评价工作开展情况</w:t>
      </w:r>
    </w:p>
    <w:p>
      <w:pPr>
        <w:widowControl/>
        <w:spacing w:line="440" w:lineRule="exact"/>
        <w:ind w:firstLine="422" w:firstLineChars="150"/>
        <w:jc w:val="left"/>
        <w:rPr>
          <w:rFonts w:hint="eastAsia" w:ascii="宋体" w:hAnsi="宋体" w:cs="宋体"/>
          <w:b/>
          <w:bCs/>
          <w:color w:val="auto"/>
          <w:sz w:val="28"/>
          <w:szCs w:val="28"/>
        </w:rPr>
      </w:pPr>
      <w:r>
        <w:rPr>
          <w:rFonts w:hint="eastAsia" w:ascii="宋体" w:hAnsi="宋体" w:cs="宋体"/>
          <w:b/>
          <w:bCs/>
          <w:color w:val="auto"/>
          <w:sz w:val="28"/>
          <w:szCs w:val="28"/>
        </w:rPr>
        <w:t>（一）绩效评价目的</w:t>
      </w:r>
    </w:p>
    <w:p>
      <w:pPr>
        <w:widowControl/>
        <w:spacing w:line="440" w:lineRule="exact"/>
        <w:ind w:firstLine="640"/>
        <w:rPr>
          <w:rFonts w:hint="eastAsia" w:ascii="宋体" w:hAnsi="宋体" w:cs="宋体"/>
          <w:bCs/>
          <w:color w:val="auto"/>
          <w:sz w:val="28"/>
          <w:szCs w:val="28"/>
        </w:rPr>
      </w:pPr>
      <w:r>
        <w:rPr>
          <w:rFonts w:hint="eastAsia" w:ascii="宋体" w:hAnsi="宋体" w:cs="宋体"/>
          <w:bCs/>
          <w:color w:val="auto"/>
          <w:sz w:val="28"/>
          <w:szCs w:val="28"/>
        </w:rPr>
        <w:t>绩效评价的目的为了全面分析和综合评价我局本级财政预算资金的使用管理情况，在于促进部门高效履职。同时，了解2020年度我局部门整体支出资金的使用情况、管理情况、完成情况、资金使用效益情况，及时总结经验，分析存在的问题，采取切实有效的措施进一步改进和加强财政支出项目管理，切实提高财政资金使用效益。强化预算支出的责任和效率，为上级部门决策和下年度资金安排提供参考依据。</w:t>
      </w:r>
    </w:p>
    <w:p>
      <w:pPr>
        <w:widowControl/>
        <w:spacing w:line="440" w:lineRule="exact"/>
        <w:ind w:firstLine="422" w:firstLineChars="150"/>
        <w:jc w:val="left"/>
        <w:rPr>
          <w:rFonts w:hint="eastAsia" w:ascii="宋体" w:hAnsi="宋体" w:cs="宋体"/>
          <w:b/>
          <w:bCs/>
          <w:color w:val="auto"/>
          <w:sz w:val="28"/>
          <w:szCs w:val="28"/>
        </w:rPr>
      </w:pPr>
      <w:r>
        <w:rPr>
          <w:rFonts w:hint="eastAsia" w:ascii="宋体" w:hAnsi="宋体" w:cs="宋体"/>
          <w:b/>
          <w:bCs/>
          <w:color w:val="auto"/>
          <w:sz w:val="28"/>
          <w:szCs w:val="28"/>
        </w:rPr>
        <w:t>（二）绩效评价依据</w:t>
      </w:r>
    </w:p>
    <w:p>
      <w:pPr>
        <w:widowControl/>
        <w:spacing w:line="440" w:lineRule="exact"/>
        <w:ind w:firstLine="702"/>
        <w:jc w:val="left"/>
        <w:rPr>
          <w:rFonts w:hint="eastAsia" w:ascii="宋体" w:hAnsi="宋体" w:cs="宋体"/>
          <w:bCs/>
          <w:color w:val="auto"/>
          <w:sz w:val="28"/>
          <w:szCs w:val="28"/>
        </w:rPr>
      </w:pPr>
      <w:r>
        <w:rPr>
          <w:rFonts w:hint="eastAsia" w:ascii="宋体" w:hAnsi="宋体" w:cs="宋体"/>
          <w:bCs/>
          <w:color w:val="auto"/>
          <w:sz w:val="28"/>
          <w:szCs w:val="28"/>
        </w:rPr>
        <w:t>1、《党政机关厉行节约反对浪费条例》，新《预算法》、《国务院关于深化预算管理制度改革的决定》、财政部《财政支出绩效评价管理暂行办法》（财预［2011］285号），《湖南省人民政府关于全面推进预算绩效管理的意见》（湘政发［2012］33号），《湖南省人民政府关于深化预算管理制度改革的实施意见》（湘政发［2015］8号），《中共湖南省委办公厅 湖南省人民政府办公厅关于全面实施预算绩效管理的实施意见》（湘办发〔2019〕10号）、《湖南省预算支出绩效评价管理办法》（湘财绩〔2020〕7号）。</w:t>
      </w:r>
    </w:p>
    <w:p>
      <w:pPr>
        <w:widowControl/>
        <w:spacing w:line="440" w:lineRule="exact"/>
        <w:ind w:firstLine="702"/>
        <w:jc w:val="left"/>
        <w:rPr>
          <w:rFonts w:hint="eastAsia" w:ascii="宋体" w:hAnsi="宋体" w:cs="宋体"/>
          <w:bCs/>
          <w:color w:val="auto"/>
          <w:sz w:val="28"/>
          <w:szCs w:val="28"/>
        </w:rPr>
      </w:pPr>
      <w:r>
        <w:rPr>
          <w:rFonts w:hint="eastAsia" w:ascii="宋体" w:hAnsi="宋体" w:cs="宋体"/>
          <w:bCs/>
          <w:color w:val="auto"/>
          <w:sz w:val="28"/>
          <w:szCs w:val="28"/>
        </w:rPr>
        <w:t>2、相关专项资金绩效目标、专项资金及项目管理办法。</w:t>
      </w:r>
    </w:p>
    <w:p>
      <w:pPr>
        <w:widowControl/>
        <w:spacing w:line="440" w:lineRule="exact"/>
        <w:ind w:firstLine="702"/>
        <w:jc w:val="left"/>
        <w:rPr>
          <w:rFonts w:hint="eastAsia" w:ascii="宋体" w:hAnsi="宋体" w:cs="宋体"/>
          <w:bCs/>
          <w:color w:val="auto"/>
          <w:sz w:val="28"/>
          <w:szCs w:val="28"/>
        </w:rPr>
      </w:pPr>
      <w:r>
        <w:rPr>
          <w:rFonts w:hint="eastAsia" w:ascii="宋体" w:hAnsi="宋体" w:cs="宋体"/>
          <w:bCs/>
          <w:color w:val="auto"/>
          <w:sz w:val="28"/>
          <w:szCs w:val="28"/>
        </w:rPr>
        <w:t>3、中央、省、市相关政策规定和项目管理规定及财务会计制度。</w:t>
      </w:r>
    </w:p>
    <w:p>
      <w:pPr>
        <w:widowControl/>
        <w:spacing w:line="440" w:lineRule="exact"/>
        <w:ind w:firstLine="702"/>
        <w:jc w:val="left"/>
        <w:rPr>
          <w:rFonts w:hint="eastAsia" w:ascii="宋体" w:hAnsi="宋体" w:cs="宋体"/>
          <w:bCs/>
          <w:color w:val="auto"/>
          <w:sz w:val="28"/>
          <w:szCs w:val="28"/>
        </w:rPr>
      </w:pPr>
      <w:r>
        <w:rPr>
          <w:rFonts w:hint="eastAsia" w:ascii="宋体" w:hAnsi="宋体" w:cs="宋体"/>
          <w:bCs/>
          <w:color w:val="auto"/>
          <w:sz w:val="28"/>
          <w:szCs w:val="28"/>
        </w:rPr>
        <w:t>4、部门职能、规划、年度工作计划，部门预算资金，财政部门预算批复、部门年度预算执行情况、年度决算报告、年度部门支出预算绩效目标等，项目审计报告和验收报告等。</w:t>
      </w:r>
    </w:p>
    <w:p>
      <w:pPr>
        <w:widowControl/>
        <w:spacing w:line="440" w:lineRule="exact"/>
        <w:ind w:firstLine="702"/>
        <w:jc w:val="left"/>
        <w:rPr>
          <w:rFonts w:hint="eastAsia" w:ascii="宋体" w:hAnsi="宋体" w:cs="宋体"/>
          <w:bCs/>
          <w:color w:val="auto"/>
          <w:sz w:val="28"/>
          <w:szCs w:val="28"/>
        </w:rPr>
      </w:pPr>
      <w:r>
        <w:rPr>
          <w:rFonts w:hint="eastAsia" w:ascii="宋体" w:hAnsi="宋体" w:cs="宋体"/>
          <w:bCs/>
          <w:color w:val="auto"/>
          <w:sz w:val="28"/>
          <w:szCs w:val="28"/>
        </w:rPr>
        <w:t>5、《桃江县人民政府关于推进全县预算绩效管理的实施意见》（桃政发〔2013〕25号）、桃江县财政局桃财绩（2021）14号。</w:t>
      </w:r>
    </w:p>
    <w:p>
      <w:pPr>
        <w:spacing w:line="440" w:lineRule="exact"/>
        <w:ind w:firstLine="562" w:firstLineChars="200"/>
        <w:rPr>
          <w:rFonts w:hint="eastAsia" w:ascii="宋体" w:hAnsi="宋体" w:cs="宋体"/>
          <w:b/>
          <w:color w:val="auto"/>
          <w:sz w:val="28"/>
          <w:szCs w:val="28"/>
        </w:rPr>
      </w:pPr>
      <w:r>
        <w:rPr>
          <w:rFonts w:hint="eastAsia" w:ascii="宋体" w:hAnsi="宋体" w:cs="宋体"/>
          <w:b/>
          <w:color w:val="auto"/>
          <w:sz w:val="28"/>
          <w:szCs w:val="28"/>
        </w:rPr>
        <w:t>（三）绩效评价工作过程</w:t>
      </w:r>
    </w:p>
    <w:p>
      <w:pPr>
        <w:pStyle w:val="11"/>
        <w:spacing w:line="440" w:lineRule="exact"/>
        <w:ind w:firstLine="562" w:firstLineChars="200"/>
        <w:rPr>
          <w:rFonts w:hint="eastAsia" w:ascii="宋体" w:hAnsi="宋体" w:cs="宋体"/>
          <w:bCs/>
          <w:color w:val="auto"/>
          <w:kern w:val="2"/>
          <w:sz w:val="28"/>
          <w:szCs w:val="28"/>
        </w:rPr>
      </w:pPr>
      <w:r>
        <w:rPr>
          <w:rFonts w:hint="eastAsia" w:ascii="宋体" w:hAnsi="宋体" w:cs="宋体"/>
          <w:b/>
          <w:bCs/>
          <w:color w:val="auto"/>
          <w:kern w:val="2"/>
          <w:sz w:val="28"/>
          <w:szCs w:val="28"/>
        </w:rPr>
        <w:t xml:space="preserve"> </w:t>
      </w:r>
      <w:r>
        <w:rPr>
          <w:rFonts w:hint="eastAsia" w:ascii="宋体" w:hAnsi="宋体" w:cs="宋体"/>
          <w:bCs/>
          <w:color w:val="auto"/>
          <w:kern w:val="2"/>
          <w:sz w:val="28"/>
          <w:szCs w:val="28"/>
        </w:rPr>
        <w:t xml:space="preserve"> 1、前期准备阶段。</w:t>
      </w:r>
      <w:bookmarkStart w:id="1" w:name="_GoBack"/>
      <w:bookmarkEnd w:id="1"/>
    </w:p>
    <w:p>
      <w:pPr>
        <w:pStyle w:val="11"/>
        <w:spacing w:line="440" w:lineRule="exact"/>
        <w:ind w:firstLine="560" w:firstLineChars="200"/>
        <w:rPr>
          <w:rFonts w:hint="eastAsia" w:ascii="宋体" w:hAnsi="宋体" w:cs="宋体"/>
          <w:bCs/>
          <w:color w:val="auto"/>
          <w:kern w:val="2"/>
          <w:sz w:val="28"/>
          <w:szCs w:val="28"/>
        </w:rPr>
      </w:pPr>
      <w:r>
        <w:rPr>
          <w:rFonts w:hint="eastAsia" w:ascii="宋体" w:hAnsi="宋体" w:cs="宋体"/>
          <w:bCs/>
          <w:color w:val="auto"/>
          <w:kern w:val="2"/>
          <w:sz w:val="28"/>
          <w:szCs w:val="28"/>
        </w:rPr>
        <w:t>1.1、评价工作的组织。部门整体支出绩效评价工作由县自然资源局牵头、相关股室及二级机构和项目地组织配合、湖南正方会计师事务所有限公司（以下简称正方公司）现场评价工作小组负责具体工作。</w:t>
      </w:r>
    </w:p>
    <w:p>
      <w:pPr>
        <w:pStyle w:val="11"/>
        <w:spacing w:line="440" w:lineRule="exact"/>
        <w:ind w:firstLine="560" w:firstLineChars="200"/>
        <w:rPr>
          <w:rFonts w:hint="eastAsia" w:ascii="宋体" w:hAnsi="宋体" w:cs="宋体"/>
          <w:bCs/>
          <w:color w:val="auto"/>
          <w:kern w:val="2"/>
          <w:sz w:val="28"/>
          <w:szCs w:val="28"/>
        </w:rPr>
      </w:pPr>
      <w:r>
        <w:rPr>
          <w:rFonts w:hint="eastAsia" w:ascii="宋体" w:hAnsi="宋体" w:cs="宋体"/>
          <w:bCs/>
          <w:color w:val="auto"/>
          <w:kern w:val="2"/>
          <w:sz w:val="28"/>
          <w:szCs w:val="28"/>
        </w:rPr>
        <w:t>1.2、评价工作的职责分工。现场评价小组由相关各股室人员和正方公司人员组成，负责财政资金收入支出情况财务审查，查阅相关文件、调整变更、申报审批、验收、成果等资料，调查问卷，调查询问相关人员核实相关情况，抽查一定项目进行现场工程查看、拍照、测量、核对，现场调查问卷，小组人员相互之间工作配合和及时沟通，形成绩效评价现场工作记录。</w:t>
      </w:r>
    </w:p>
    <w:p>
      <w:pPr>
        <w:pStyle w:val="11"/>
        <w:spacing w:line="440" w:lineRule="exact"/>
        <w:ind w:firstLine="560" w:firstLineChars="200"/>
        <w:rPr>
          <w:rFonts w:hint="eastAsia" w:ascii="宋体" w:hAnsi="宋体" w:cs="宋体"/>
          <w:bCs/>
          <w:color w:val="auto"/>
          <w:kern w:val="2"/>
          <w:sz w:val="28"/>
          <w:szCs w:val="28"/>
        </w:rPr>
      </w:pPr>
      <w:r>
        <w:rPr>
          <w:rFonts w:hint="eastAsia" w:ascii="宋体" w:hAnsi="宋体" w:cs="宋体"/>
          <w:bCs/>
          <w:color w:val="auto"/>
          <w:kern w:val="2"/>
          <w:sz w:val="28"/>
          <w:szCs w:val="28"/>
        </w:rPr>
        <w:t>1.3、时间安排。在2021年4月16日前，根据2020年度部门整体支出预算、实施情况，酝酿绩效评价工作方案，在反复征求意见经局领导审查的基础上，形成2020年度部门整体支出绩效评价方案及工作步骤。工作实施阶段。在2021年4月17日至2021年4月25日进行评价工作，2021年4月28日前汇总、出具评价报告初稿，待局领导审查后出具正式报告。</w:t>
      </w:r>
    </w:p>
    <w:p>
      <w:pPr>
        <w:pStyle w:val="11"/>
        <w:spacing w:line="440" w:lineRule="exact"/>
        <w:ind w:firstLine="560" w:firstLineChars="200"/>
        <w:rPr>
          <w:rFonts w:hint="eastAsia" w:ascii="宋体" w:hAnsi="宋体" w:cs="宋体"/>
          <w:bCs/>
          <w:color w:val="auto"/>
          <w:kern w:val="2"/>
          <w:sz w:val="28"/>
          <w:szCs w:val="28"/>
        </w:rPr>
      </w:pPr>
      <w:r>
        <w:rPr>
          <w:rFonts w:hint="eastAsia" w:ascii="宋体" w:hAnsi="宋体" w:cs="宋体"/>
          <w:bCs/>
          <w:color w:val="auto"/>
          <w:kern w:val="2"/>
          <w:sz w:val="28"/>
          <w:szCs w:val="28"/>
        </w:rPr>
        <w:t>2、组织实施和分析评价</w:t>
      </w:r>
    </w:p>
    <w:p>
      <w:pPr>
        <w:pStyle w:val="11"/>
        <w:spacing w:line="440" w:lineRule="exact"/>
        <w:ind w:firstLine="560" w:firstLineChars="200"/>
        <w:rPr>
          <w:rFonts w:ascii="宋体" w:hAnsi="宋体" w:cs="宋体"/>
          <w:bCs/>
          <w:color w:val="auto"/>
          <w:kern w:val="2"/>
          <w:sz w:val="28"/>
          <w:szCs w:val="28"/>
        </w:rPr>
      </w:pPr>
      <w:r>
        <w:rPr>
          <w:rFonts w:hint="eastAsia" w:ascii="宋体" w:hAnsi="宋体" w:cs="宋体"/>
          <w:bCs/>
          <w:color w:val="auto"/>
          <w:kern w:val="2"/>
          <w:sz w:val="28"/>
          <w:szCs w:val="28"/>
        </w:rPr>
        <w:t>2.1、实施评价的组织方式采取“现场评价”方式进行评价。</w:t>
      </w:r>
    </w:p>
    <w:p>
      <w:pPr>
        <w:pStyle w:val="11"/>
        <w:spacing w:line="440" w:lineRule="exact"/>
        <w:ind w:firstLine="560" w:firstLineChars="200"/>
        <w:rPr>
          <w:rFonts w:hint="eastAsia" w:ascii="宋体" w:hAnsi="宋体" w:cs="宋体"/>
          <w:bCs/>
          <w:color w:val="auto"/>
          <w:kern w:val="2"/>
          <w:sz w:val="28"/>
          <w:szCs w:val="28"/>
        </w:rPr>
      </w:pPr>
      <w:r>
        <w:rPr>
          <w:rFonts w:hint="eastAsia" w:ascii="宋体" w:hAnsi="宋体" w:cs="宋体"/>
          <w:bCs/>
          <w:color w:val="auto"/>
          <w:kern w:val="2"/>
          <w:sz w:val="28"/>
          <w:szCs w:val="28"/>
        </w:rPr>
        <w:t>2.2、实施评价工作的原则。部门整体支出绩效评价审计工作坚持价值中立、公平、公开、公正和利害回避的原则，一般评价与重点评价相结合原则，定量分析与定性分析相结合原则。</w:t>
      </w:r>
    </w:p>
    <w:p>
      <w:pPr>
        <w:pStyle w:val="11"/>
        <w:spacing w:line="440" w:lineRule="exact"/>
        <w:ind w:firstLine="560" w:firstLineChars="200"/>
        <w:rPr>
          <w:rFonts w:hint="eastAsia" w:ascii="宋体" w:hAnsi="宋体" w:cs="宋体"/>
          <w:bCs/>
          <w:color w:val="auto"/>
          <w:kern w:val="2"/>
          <w:sz w:val="28"/>
          <w:szCs w:val="28"/>
        </w:rPr>
      </w:pPr>
      <w:r>
        <w:rPr>
          <w:rFonts w:hint="eastAsia" w:ascii="宋体" w:hAnsi="宋体" w:cs="宋体"/>
          <w:bCs/>
          <w:color w:val="auto"/>
          <w:kern w:val="2"/>
          <w:sz w:val="28"/>
          <w:szCs w:val="28"/>
        </w:rPr>
        <w:t>2.3、实施绩效评价的内容</w:t>
      </w:r>
    </w:p>
    <w:p>
      <w:pPr>
        <w:pStyle w:val="11"/>
        <w:spacing w:line="440" w:lineRule="exact"/>
        <w:ind w:firstLine="560" w:firstLineChars="200"/>
        <w:rPr>
          <w:rFonts w:hint="eastAsia" w:ascii="宋体" w:hAnsi="宋体" w:cs="宋体"/>
          <w:bCs/>
          <w:color w:val="auto"/>
          <w:kern w:val="2"/>
          <w:sz w:val="28"/>
          <w:szCs w:val="28"/>
        </w:rPr>
      </w:pPr>
      <w:r>
        <w:rPr>
          <w:rFonts w:hint="eastAsia" w:ascii="宋体" w:hAnsi="宋体" w:cs="宋体"/>
          <w:bCs/>
          <w:color w:val="auto"/>
          <w:kern w:val="2"/>
          <w:sz w:val="28"/>
          <w:szCs w:val="28"/>
        </w:rPr>
        <w:t>围绕制定的绩效目标，对资金的预算、决策、运行、完成及管理情况，按投入目标、管理目标、产出目标、效果目标进行综合评价，具体如下：</w:t>
      </w:r>
    </w:p>
    <w:p>
      <w:pPr>
        <w:pStyle w:val="11"/>
        <w:spacing w:line="440" w:lineRule="exact"/>
        <w:ind w:firstLine="560" w:firstLineChars="200"/>
        <w:rPr>
          <w:rFonts w:hint="eastAsia" w:ascii="宋体" w:hAnsi="宋体" w:cs="宋体"/>
          <w:bCs/>
          <w:color w:val="auto"/>
          <w:kern w:val="2"/>
          <w:sz w:val="28"/>
          <w:szCs w:val="28"/>
        </w:rPr>
      </w:pPr>
      <w:r>
        <w:rPr>
          <w:rFonts w:hint="eastAsia" w:ascii="宋体" w:hAnsi="宋体" w:cs="宋体"/>
          <w:bCs/>
          <w:color w:val="auto"/>
          <w:kern w:val="2"/>
          <w:sz w:val="28"/>
          <w:szCs w:val="28"/>
        </w:rPr>
        <w:t>2.3.1、目标设定情况；</w:t>
      </w:r>
    </w:p>
    <w:p>
      <w:pPr>
        <w:pStyle w:val="11"/>
        <w:spacing w:line="440" w:lineRule="exact"/>
        <w:ind w:firstLine="560" w:firstLineChars="200"/>
        <w:rPr>
          <w:rFonts w:hint="eastAsia" w:ascii="宋体" w:hAnsi="宋体" w:cs="宋体"/>
          <w:bCs/>
          <w:color w:val="auto"/>
          <w:kern w:val="2"/>
          <w:sz w:val="28"/>
          <w:szCs w:val="28"/>
        </w:rPr>
      </w:pPr>
      <w:r>
        <w:rPr>
          <w:rFonts w:hint="eastAsia" w:ascii="宋体" w:hAnsi="宋体" w:cs="宋体"/>
          <w:bCs/>
          <w:color w:val="auto"/>
          <w:kern w:val="2"/>
          <w:sz w:val="28"/>
          <w:szCs w:val="28"/>
        </w:rPr>
        <w:t>2.3.2、资金分配、使用、管理情况；</w:t>
      </w:r>
    </w:p>
    <w:p>
      <w:pPr>
        <w:pStyle w:val="11"/>
        <w:spacing w:line="440" w:lineRule="exact"/>
        <w:ind w:firstLine="560" w:firstLineChars="200"/>
        <w:rPr>
          <w:rFonts w:hint="eastAsia" w:ascii="宋体" w:hAnsi="宋体" w:cs="宋体"/>
          <w:bCs/>
          <w:color w:val="auto"/>
          <w:kern w:val="2"/>
          <w:sz w:val="28"/>
          <w:szCs w:val="28"/>
        </w:rPr>
      </w:pPr>
      <w:r>
        <w:rPr>
          <w:rFonts w:hint="eastAsia" w:ascii="宋体" w:hAnsi="宋体" w:cs="宋体"/>
          <w:bCs/>
          <w:color w:val="auto"/>
          <w:kern w:val="2"/>
          <w:sz w:val="28"/>
          <w:szCs w:val="28"/>
        </w:rPr>
        <w:t>2.3.3、制定的制度和措施情况；</w:t>
      </w:r>
    </w:p>
    <w:p>
      <w:pPr>
        <w:pStyle w:val="11"/>
        <w:spacing w:line="440" w:lineRule="exact"/>
        <w:ind w:firstLine="560" w:firstLineChars="200"/>
        <w:rPr>
          <w:rFonts w:hint="eastAsia" w:ascii="宋体" w:hAnsi="宋体" w:cs="宋体"/>
          <w:bCs/>
          <w:color w:val="auto"/>
          <w:kern w:val="2"/>
          <w:sz w:val="28"/>
          <w:szCs w:val="28"/>
        </w:rPr>
      </w:pPr>
      <w:r>
        <w:rPr>
          <w:rFonts w:hint="eastAsia" w:ascii="宋体" w:hAnsi="宋体" w:cs="宋体"/>
          <w:bCs/>
          <w:color w:val="auto"/>
          <w:kern w:val="2"/>
          <w:sz w:val="28"/>
          <w:szCs w:val="28"/>
        </w:rPr>
        <w:t>2.3.4、目标完成和资金效益情况。</w:t>
      </w:r>
    </w:p>
    <w:p>
      <w:pPr>
        <w:pStyle w:val="11"/>
        <w:spacing w:line="440" w:lineRule="exact"/>
        <w:ind w:firstLine="560" w:firstLineChars="200"/>
        <w:rPr>
          <w:rFonts w:hint="eastAsia" w:ascii="宋体" w:hAnsi="宋体" w:cs="宋体"/>
          <w:bCs/>
          <w:color w:val="auto"/>
          <w:kern w:val="2"/>
          <w:sz w:val="28"/>
          <w:szCs w:val="28"/>
        </w:rPr>
      </w:pPr>
      <w:r>
        <w:rPr>
          <w:rFonts w:hint="eastAsia" w:ascii="宋体" w:hAnsi="宋体" w:cs="宋体"/>
          <w:bCs/>
          <w:color w:val="auto"/>
          <w:kern w:val="2"/>
          <w:sz w:val="28"/>
          <w:szCs w:val="28"/>
        </w:rPr>
        <w:t>2.4、分析评价的内容和方法</w:t>
      </w:r>
    </w:p>
    <w:p>
      <w:pPr>
        <w:pStyle w:val="11"/>
        <w:spacing w:line="440" w:lineRule="exact"/>
        <w:ind w:firstLine="560" w:firstLineChars="200"/>
        <w:rPr>
          <w:rFonts w:hint="eastAsia" w:ascii="宋体" w:hAnsi="宋体" w:cs="宋体"/>
          <w:bCs/>
          <w:color w:val="auto"/>
          <w:kern w:val="2"/>
          <w:sz w:val="28"/>
          <w:szCs w:val="28"/>
        </w:rPr>
      </w:pPr>
      <w:r>
        <w:rPr>
          <w:rFonts w:hint="eastAsia" w:ascii="宋体" w:hAnsi="宋体" w:cs="宋体"/>
          <w:bCs/>
          <w:color w:val="auto"/>
          <w:kern w:val="2"/>
          <w:sz w:val="28"/>
          <w:szCs w:val="28"/>
        </w:rPr>
        <w:t>2.4.1、评价分析的方法：</w:t>
      </w:r>
    </w:p>
    <w:p>
      <w:pPr>
        <w:pStyle w:val="11"/>
        <w:spacing w:line="440" w:lineRule="exact"/>
        <w:ind w:firstLine="840" w:firstLineChars="300"/>
        <w:rPr>
          <w:rFonts w:hint="eastAsia" w:ascii="宋体" w:hAnsi="宋体" w:cs="宋体"/>
          <w:bCs/>
          <w:color w:val="auto"/>
          <w:kern w:val="2"/>
          <w:sz w:val="28"/>
          <w:szCs w:val="28"/>
        </w:rPr>
      </w:pPr>
      <w:r>
        <w:rPr>
          <w:rFonts w:hint="eastAsia" w:ascii="宋体" w:hAnsi="宋体" w:cs="宋体"/>
          <w:bCs/>
          <w:color w:val="auto"/>
          <w:kern w:val="2"/>
          <w:sz w:val="28"/>
          <w:szCs w:val="28"/>
        </w:rPr>
        <w:t>A、主要采用成本效益分析法；</w:t>
      </w:r>
    </w:p>
    <w:p>
      <w:pPr>
        <w:pStyle w:val="11"/>
        <w:spacing w:line="440" w:lineRule="exact"/>
        <w:rPr>
          <w:rFonts w:hint="eastAsia" w:ascii="宋体" w:hAnsi="宋体" w:cs="宋体"/>
          <w:bCs/>
          <w:color w:val="auto"/>
          <w:kern w:val="2"/>
          <w:sz w:val="28"/>
          <w:szCs w:val="28"/>
        </w:rPr>
      </w:pPr>
      <w:r>
        <w:rPr>
          <w:rFonts w:hint="eastAsia" w:ascii="宋体" w:hAnsi="宋体" w:cs="宋体"/>
          <w:bCs/>
          <w:color w:val="auto"/>
          <w:kern w:val="2"/>
          <w:sz w:val="28"/>
          <w:szCs w:val="28"/>
        </w:rPr>
        <w:t xml:space="preserve">      B、定量分析与定性分析相结合；</w:t>
      </w:r>
    </w:p>
    <w:p>
      <w:pPr>
        <w:pStyle w:val="11"/>
        <w:spacing w:line="440" w:lineRule="exact"/>
        <w:ind w:firstLine="840" w:firstLineChars="300"/>
        <w:rPr>
          <w:rFonts w:hint="eastAsia" w:ascii="宋体" w:hAnsi="宋体" w:cs="宋体"/>
          <w:bCs/>
          <w:color w:val="auto"/>
          <w:kern w:val="2"/>
          <w:sz w:val="28"/>
          <w:szCs w:val="28"/>
        </w:rPr>
      </w:pPr>
      <w:r>
        <w:rPr>
          <w:rFonts w:hint="eastAsia" w:ascii="宋体" w:hAnsi="宋体" w:cs="宋体"/>
          <w:bCs/>
          <w:color w:val="auto"/>
          <w:kern w:val="2"/>
          <w:sz w:val="28"/>
          <w:szCs w:val="28"/>
        </w:rPr>
        <w:t>C、自查自评与现场再评价相结合；</w:t>
      </w:r>
    </w:p>
    <w:p>
      <w:pPr>
        <w:pStyle w:val="11"/>
        <w:spacing w:line="440" w:lineRule="exact"/>
        <w:ind w:firstLine="840" w:firstLineChars="300"/>
        <w:rPr>
          <w:rFonts w:hint="eastAsia" w:ascii="宋体" w:hAnsi="宋体" w:cs="宋体"/>
          <w:bCs/>
          <w:color w:val="auto"/>
          <w:kern w:val="2"/>
          <w:sz w:val="28"/>
          <w:szCs w:val="28"/>
        </w:rPr>
      </w:pPr>
      <w:r>
        <w:rPr>
          <w:rFonts w:hint="eastAsia" w:ascii="宋体" w:hAnsi="宋体" w:cs="宋体"/>
          <w:bCs/>
          <w:color w:val="auto"/>
          <w:kern w:val="2"/>
          <w:sz w:val="28"/>
          <w:szCs w:val="28"/>
        </w:rPr>
        <w:t>D、抽查与综合评价相结合。</w:t>
      </w:r>
    </w:p>
    <w:p>
      <w:pPr>
        <w:pStyle w:val="11"/>
        <w:spacing w:line="440" w:lineRule="exact"/>
        <w:ind w:firstLine="840" w:firstLineChars="300"/>
        <w:rPr>
          <w:rFonts w:hint="eastAsia" w:ascii="宋体" w:hAnsi="宋体" w:cs="宋体"/>
          <w:bCs/>
          <w:color w:val="auto"/>
          <w:kern w:val="2"/>
          <w:sz w:val="28"/>
          <w:szCs w:val="28"/>
        </w:rPr>
      </w:pPr>
      <w:r>
        <w:rPr>
          <w:rFonts w:hint="eastAsia" w:ascii="宋体" w:hAnsi="宋体" w:cs="宋体"/>
          <w:bCs/>
          <w:color w:val="auto"/>
          <w:kern w:val="2"/>
          <w:sz w:val="28"/>
          <w:szCs w:val="28"/>
        </w:rPr>
        <w:t>E、比较法与因素分析法</w:t>
      </w:r>
    </w:p>
    <w:p>
      <w:pPr>
        <w:pStyle w:val="11"/>
        <w:spacing w:line="440" w:lineRule="exact"/>
        <w:ind w:firstLine="560" w:firstLineChars="200"/>
        <w:rPr>
          <w:rFonts w:hint="eastAsia" w:ascii="宋体" w:hAnsi="宋体" w:cs="宋体"/>
          <w:bCs/>
          <w:color w:val="auto"/>
          <w:kern w:val="2"/>
          <w:sz w:val="28"/>
          <w:szCs w:val="28"/>
        </w:rPr>
      </w:pPr>
      <w:r>
        <w:rPr>
          <w:rFonts w:hint="eastAsia" w:ascii="宋体" w:hAnsi="宋体" w:cs="宋体"/>
          <w:bCs/>
          <w:color w:val="auto"/>
          <w:kern w:val="2"/>
          <w:sz w:val="28"/>
          <w:szCs w:val="28"/>
        </w:rPr>
        <w:t>2.4.2、分析评价的内容：</w:t>
      </w:r>
    </w:p>
    <w:p>
      <w:pPr>
        <w:pStyle w:val="11"/>
        <w:spacing w:line="440" w:lineRule="exact"/>
        <w:ind w:firstLine="560" w:firstLineChars="200"/>
        <w:rPr>
          <w:rFonts w:hint="eastAsia" w:ascii="宋体" w:hAnsi="宋体" w:cs="宋体"/>
          <w:bCs/>
          <w:color w:val="auto"/>
          <w:kern w:val="2"/>
          <w:sz w:val="28"/>
          <w:szCs w:val="28"/>
        </w:rPr>
      </w:pPr>
      <w:r>
        <w:rPr>
          <w:rFonts w:hint="eastAsia" w:ascii="宋体" w:hAnsi="宋体" w:cs="宋体"/>
          <w:bCs/>
          <w:color w:val="auto"/>
          <w:kern w:val="2"/>
          <w:sz w:val="28"/>
          <w:szCs w:val="28"/>
        </w:rPr>
        <w:t>A、核实数据。全面核对收入支出情况，核实2020年度部门整体支出数据的准确性、真实性。检查2020年度部门整体支出情况，并进行比较分析。</w:t>
      </w:r>
    </w:p>
    <w:p>
      <w:pPr>
        <w:pStyle w:val="11"/>
        <w:spacing w:line="440" w:lineRule="exact"/>
        <w:ind w:firstLine="560" w:firstLineChars="200"/>
        <w:rPr>
          <w:rFonts w:hint="eastAsia" w:ascii="宋体" w:hAnsi="宋体" w:cs="宋体"/>
          <w:bCs/>
          <w:color w:val="auto"/>
          <w:kern w:val="2"/>
          <w:sz w:val="28"/>
          <w:szCs w:val="28"/>
        </w:rPr>
      </w:pPr>
      <w:r>
        <w:rPr>
          <w:rFonts w:hint="eastAsia" w:ascii="宋体" w:hAnsi="宋体" w:cs="宋体"/>
          <w:bCs/>
          <w:color w:val="auto"/>
          <w:kern w:val="2"/>
          <w:sz w:val="28"/>
          <w:szCs w:val="28"/>
        </w:rPr>
        <w:t>B、查阅资料。翻阅记账凭证、账本、会计报表、文件、会议记录，复制重要资料形成纸质和电子文档，查阅2020年度预算安排、非税收入、预算追加、资金管理、经费支出、资产管理等相关文件资料和财务凭证，了解项目基本情况、发生时间、申报数据、预算、决算、验收、造价等情况，是否为其他部门项目或以前年度项目，形成绩效评价工作底稿。</w:t>
      </w:r>
    </w:p>
    <w:p>
      <w:pPr>
        <w:pStyle w:val="11"/>
        <w:spacing w:line="440" w:lineRule="exact"/>
        <w:ind w:firstLine="560" w:firstLineChars="200"/>
        <w:rPr>
          <w:rFonts w:hint="eastAsia" w:ascii="宋体" w:hAnsi="宋体" w:cs="宋体"/>
          <w:bCs/>
          <w:color w:val="auto"/>
          <w:kern w:val="2"/>
          <w:sz w:val="28"/>
          <w:szCs w:val="28"/>
        </w:rPr>
      </w:pPr>
      <w:r>
        <w:rPr>
          <w:rFonts w:hint="eastAsia" w:ascii="宋体" w:hAnsi="宋体" w:cs="宋体"/>
          <w:bCs/>
          <w:color w:val="auto"/>
          <w:kern w:val="2"/>
          <w:sz w:val="28"/>
          <w:szCs w:val="28"/>
        </w:rPr>
        <w:t>C、听取相关情况介绍，实地查看。现场查看实物资产和项目实施情况，与账面进行比较分析。</w:t>
      </w:r>
    </w:p>
    <w:p>
      <w:pPr>
        <w:pStyle w:val="11"/>
        <w:spacing w:line="440" w:lineRule="exact"/>
        <w:ind w:firstLine="560" w:firstLineChars="200"/>
        <w:rPr>
          <w:rFonts w:hint="eastAsia" w:ascii="宋体" w:hAnsi="宋体" w:cs="宋体"/>
          <w:bCs/>
          <w:color w:val="auto"/>
          <w:kern w:val="2"/>
          <w:sz w:val="28"/>
          <w:szCs w:val="28"/>
        </w:rPr>
      </w:pPr>
      <w:r>
        <w:rPr>
          <w:rFonts w:hint="eastAsia" w:ascii="宋体" w:hAnsi="宋体" w:cs="宋体"/>
          <w:bCs/>
          <w:color w:val="auto"/>
          <w:kern w:val="2"/>
          <w:sz w:val="28"/>
          <w:szCs w:val="28"/>
        </w:rPr>
        <w:t>D、问卷调查。对部门履行职责情况的公众满意度发放问卷20份，进行现场调查问卷，统计分值为95.2分。</w:t>
      </w:r>
    </w:p>
    <w:p>
      <w:pPr>
        <w:pStyle w:val="11"/>
        <w:spacing w:line="440" w:lineRule="exact"/>
        <w:ind w:firstLine="560" w:firstLineChars="200"/>
        <w:rPr>
          <w:rFonts w:hint="eastAsia" w:ascii="宋体" w:hAnsi="宋体" w:cs="宋体"/>
          <w:bCs/>
          <w:color w:val="auto"/>
          <w:kern w:val="2"/>
          <w:sz w:val="28"/>
          <w:szCs w:val="28"/>
        </w:rPr>
      </w:pPr>
      <w:r>
        <w:rPr>
          <w:rFonts w:hint="eastAsia" w:ascii="宋体" w:hAnsi="宋体" w:cs="宋体"/>
          <w:bCs/>
          <w:color w:val="auto"/>
          <w:kern w:val="2"/>
          <w:sz w:val="28"/>
          <w:szCs w:val="28"/>
        </w:rPr>
        <w:t>E、综合分析。归纳汇总提供的材料及自评报告，结合现场调查情况进行综合分析。</w:t>
      </w:r>
    </w:p>
    <w:p>
      <w:pPr>
        <w:pStyle w:val="11"/>
        <w:spacing w:line="440" w:lineRule="exact"/>
        <w:ind w:firstLine="560" w:firstLineChars="200"/>
        <w:rPr>
          <w:rFonts w:hint="eastAsia" w:ascii="宋体" w:hAnsi="宋体" w:cs="宋体"/>
          <w:bCs/>
          <w:color w:val="auto"/>
          <w:kern w:val="2"/>
          <w:sz w:val="28"/>
          <w:szCs w:val="28"/>
        </w:rPr>
      </w:pPr>
      <w:r>
        <w:rPr>
          <w:rFonts w:hint="eastAsia" w:ascii="宋体" w:hAnsi="宋体" w:cs="宋体"/>
          <w:bCs/>
          <w:color w:val="auto"/>
          <w:kern w:val="2"/>
          <w:sz w:val="28"/>
          <w:szCs w:val="28"/>
        </w:rPr>
        <w:t>F、撰写评价报告。评价组根据现场评价、调查问卷和资料汇总情况对各项评价指标进行评价和打分，形成绩效评价报告初步意见，征求各方意见，对反馈及沟通书面意见进行汇总经局领导审查后形成整体支出绩效评价自评报告。包含电子版、纸质材料及附件。</w:t>
      </w:r>
    </w:p>
    <w:p>
      <w:pPr>
        <w:spacing w:line="440" w:lineRule="exact"/>
        <w:rPr>
          <w:rFonts w:hint="eastAsia" w:ascii="宋体" w:hAnsi="宋体" w:cs="宋体"/>
          <w:b/>
          <w:bCs/>
          <w:color w:val="auto"/>
          <w:sz w:val="28"/>
          <w:szCs w:val="28"/>
        </w:rPr>
      </w:pPr>
      <w:r>
        <w:rPr>
          <w:rFonts w:hint="eastAsia" w:ascii="宋体" w:hAnsi="宋体" w:cs="宋体"/>
          <w:bCs/>
          <w:color w:val="auto"/>
          <w:sz w:val="28"/>
          <w:szCs w:val="28"/>
        </w:rPr>
        <w:t xml:space="preserve">  </w:t>
      </w:r>
      <w:r>
        <w:rPr>
          <w:rFonts w:hint="eastAsia" w:ascii="宋体" w:hAnsi="宋体" w:cs="宋体"/>
          <w:b/>
          <w:bCs/>
          <w:color w:val="auto"/>
          <w:sz w:val="28"/>
          <w:szCs w:val="28"/>
        </w:rPr>
        <w:t xml:space="preserve">  3、自评结果</w:t>
      </w:r>
    </w:p>
    <w:p>
      <w:pPr>
        <w:pStyle w:val="11"/>
        <w:spacing w:line="440" w:lineRule="exact"/>
        <w:ind w:firstLine="562" w:firstLineChars="200"/>
        <w:rPr>
          <w:rFonts w:hint="eastAsia" w:ascii="宋体" w:hAnsi="宋体" w:cs="宋体"/>
          <w:b/>
          <w:color w:val="auto"/>
          <w:kern w:val="2"/>
          <w:sz w:val="28"/>
          <w:szCs w:val="28"/>
        </w:rPr>
      </w:pPr>
      <w:r>
        <w:rPr>
          <w:rFonts w:hint="eastAsia" w:ascii="宋体" w:hAnsi="宋体" w:cs="宋体"/>
          <w:b/>
          <w:color w:val="auto"/>
          <w:kern w:val="2"/>
          <w:sz w:val="28"/>
          <w:szCs w:val="28"/>
        </w:rPr>
        <w:t>我局基本支出预算保障了机关日常正常运转，项目支出预算认真履行好部门职能职责，充分发挥了项目资金的作用，圆满完成了县委、县政府下达的各项业务目标任务。</w:t>
      </w:r>
    </w:p>
    <w:p>
      <w:pPr>
        <w:pStyle w:val="11"/>
        <w:spacing w:line="440" w:lineRule="exact"/>
        <w:ind w:firstLine="562" w:firstLineChars="200"/>
        <w:rPr>
          <w:rFonts w:hint="eastAsia" w:ascii="宋体" w:hAnsi="宋体" w:cs="宋体"/>
          <w:b/>
          <w:color w:val="auto"/>
          <w:kern w:val="2"/>
          <w:sz w:val="28"/>
          <w:szCs w:val="28"/>
        </w:rPr>
      </w:pPr>
      <w:r>
        <w:rPr>
          <w:rFonts w:hint="eastAsia" w:ascii="宋体" w:hAnsi="宋体" w:cs="宋体"/>
          <w:b/>
          <w:color w:val="auto"/>
          <w:kern w:val="2"/>
          <w:sz w:val="28"/>
          <w:szCs w:val="28"/>
        </w:rPr>
        <w:t>根据《部门整体支出绩效评价指标》确定的内容及评分标准，经评价组综合分析讨论评分，我局2020年度部门整体支出绩效评价评价指标表评分情况：分值 99.50分，财政支出绩效等级为“优秀”。（绩效评价指标表附后）。</w:t>
      </w:r>
    </w:p>
    <w:p>
      <w:pPr>
        <w:spacing w:line="440" w:lineRule="exact"/>
        <w:ind w:firstLine="562" w:firstLineChars="200"/>
        <w:rPr>
          <w:rFonts w:hint="eastAsia" w:ascii="宋体" w:hAnsi="宋体" w:cs="宋体"/>
          <w:b/>
          <w:color w:val="auto"/>
          <w:sz w:val="28"/>
          <w:szCs w:val="28"/>
        </w:rPr>
      </w:pPr>
      <w:r>
        <w:rPr>
          <w:rFonts w:hint="eastAsia" w:ascii="宋体" w:hAnsi="宋体" w:cs="宋体"/>
          <w:b/>
          <w:color w:val="auto"/>
          <w:sz w:val="28"/>
          <w:szCs w:val="28"/>
        </w:rPr>
        <w:t>六、目前面临的困境和需要解决的问题</w:t>
      </w:r>
    </w:p>
    <w:p>
      <w:pPr>
        <w:spacing w:line="440" w:lineRule="exact"/>
        <w:ind w:firstLine="560" w:firstLineChars="200"/>
        <w:rPr>
          <w:rFonts w:hint="eastAsia" w:ascii="宋体" w:hAnsi="宋体" w:cs="宋体"/>
          <w:bCs/>
          <w:color w:val="auto"/>
          <w:sz w:val="28"/>
          <w:szCs w:val="28"/>
        </w:rPr>
      </w:pPr>
      <w:r>
        <w:rPr>
          <w:rFonts w:hint="eastAsia" w:ascii="宋体" w:hAnsi="宋体" w:cs="宋体"/>
          <w:bCs/>
          <w:color w:val="auto"/>
          <w:sz w:val="28"/>
          <w:szCs w:val="28"/>
        </w:rPr>
        <w:t>近年来，我局虽然在服务全县经济、社会发展过程中做出了一些成绩，但还存在一些问题与困难，需要我们正视并予以解决。</w:t>
      </w:r>
    </w:p>
    <w:p>
      <w:pPr>
        <w:numPr>
          <w:ilvl w:val="0"/>
          <w:numId w:val="1"/>
        </w:numPr>
        <w:spacing w:line="440" w:lineRule="exact"/>
        <w:ind w:firstLine="560" w:firstLineChars="200"/>
        <w:rPr>
          <w:rFonts w:hint="eastAsia" w:ascii="宋体" w:hAnsi="宋体" w:cs="宋体"/>
          <w:bCs/>
          <w:color w:val="auto"/>
          <w:sz w:val="28"/>
          <w:szCs w:val="28"/>
        </w:rPr>
      </w:pPr>
      <w:r>
        <w:rPr>
          <w:rFonts w:hint="eastAsia" w:ascii="宋体" w:hAnsi="宋体" w:cs="宋体"/>
          <w:bCs/>
          <w:color w:val="auto"/>
          <w:sz w:val="28"/>
          <w:szCs w:val="28"/>
        </w:rPr>
        <w:t>耕地“占补平衡”矛盾较为尖锐</w:t>
      </w:r>
    </w:p>
    <w:p>
      <w:pPr>
        <w:spacing w:line="440" w:lineRule="exact"/>
        <w:ind w:firstLine="560" w:firstLineChars="200"/>
        <w:rPr>
          <w:rFonts w:hint="eastAsia" w:ascii="宋体" w:hAnsi="宋体" w:cs="宋体"/>
          <w:bCs/>
          <w:color w:val="auto"/>
          <w:sz w:val="28"/>
          <w:szCs w:val="28"/>
        </w:rPr>
      </w:pPr>
      <w:r>
        <w:rPr>
          <w:rFonts w:hint="eastAsia" w:ascii="宋体" w:hAnsi="宋体" w:cs="宋体"/>
          <w:bCs/>
          <w:color w:val="auto"/>
          <w:sz w:val="28"/>
          <w:szCs w:val="28"/>
        </w:rPr>
        <w:t>一方面，县内重点建设项目占用耕地面积长期居高不下，另一方面，我们手头可用的抵补指标依然严重不足。在“占一补一”、“占优补优”、“占水田补水田”政策影响下，我县耕地“占补平衡”矛盾越来越尖锐，仍需省厅、市局大力支持桃江开展“土地开发”、“旱改水”及“增减挂钩”项目实施，增加新的配套政策。</w:t>
      </w:r>
    </w:p>
    <w:p>
      <w:pPr>
        <w:numPr>
          <w:ilvl w:val="0"/>
          <w:numId w:val="1"/>
        </w:numPr>
        <w:spacing w:line="440" w:lineRule="exact"/>
        <w:ind w:firstLine="560" w:firstLineChars="200"/>
        <w:rPr>
          <w:rFonts w:hint="eastAsia" w:ascii="宋体" w:hAnsi="宋体" w:cs="宋体"/>
          <w:bCs/>
          <w:color w:val="auto"/>
          <w:sz w:val="28"/>
          <w:szCs w:val="28"/>
        </w:rPr>
      </w:pPr>
      <w:r>
        <w:rPr>
          <w:rFonts w:hint="eastAsia" w:ascii="宋体" w:hAnsi="宋体" w:cs="宋体"/>
          <w:bCs/>
          <w:color w:val="auto"/>
          <w:sz w:val="28"/>
          <w:szCs w:val="28"/>
        </w:rPr>
        <w:t>涉土信访和诉讼案件日趋增加</w:t>
      </w:r>
    </w:p>
    <w:p>
      <w:pPr>
        <w:spacing w:line="440" w:lineRule="exact"/>
        <w:ind w:firstLine="560" w:firstLineChars="200"/>
        <w:rPr>
          <w:rFonts w:hint="eastAsia" w:ascii="宋体" w:hAnsi="宋体" w:cs="宋体"/>
          <w:bCs/>
          <w:color w:val="auto"/>
          <w:sz w:val="28"/>
          <w:szCs w:val="28"/>
        </w:rPr>
      </w:pPr>
      <w:r>
        <w:rPr>
          <w:rFonts w:hint="eastAsia" w:ascii="宋体" w:hAnsi="宋体" w:cs="宋体"/>
          <w:bCs/>
          <w:color w:val="auto"/>
          <w:sz w:val="28"/>
          <w:szCs w:val="28"/>
        </w:rPr>
        <w:t>在全县建设开发过程中，由于部分单位涉土工作程序和工作方法不合理、不合规、不合法的问题越来越多，侵害群众利益的事件时有发生，造成全县涉土信访和诉讼案件日趋增加，给我局工作开展造成较大被动。</w:t>
      </w:r>
    </w:p>
    <w:p>
      <w:pPr>
        <w:spacing w:line="440" w:lineRule="exact"/>
        <w:ind w:firstLine="560" w:firstLineChars="200"/>
        <w:rPr>
          <w:rFonts w:hint="eastAsia" w:ascii="宋体" w:hAnsi="宋体" w:cs="宋体"/>
          <w:bCs/>
          <w:color w:val="auto"/>
          <w:sz w:val="28"/>
          <w:szCs w:val="28"/>
        </w:rPr>
      </w:pPr>
      <w:r>
        <w:rPr>
          <w:rFonts w:hint="eastAsia" w:ascii="宋体" w:hAnsi="宋体" w:cs="宋体"/>
          <w:bCs/>
          <w:color w:val="auto"/>
          <w:sz w:val="28"/>
          <w:szCs w:val="28"/>
        </w:rPr>
        <w:t>（三）受主客观因素影响，地灾防治面临新形势。受自然环境因素决定，我县地质灾害多发，68处地灾隐患点分散分布于全县各个乡镇，地灾防治点多面广，有效防治十分困难，加之随着重大建设项目增多，村民切坡建房屡禁不止，人为因素诱发地质灾害的情况日趋增加，每年洪灾发生后，全县出现多起较大规模地质灾害险情和隐患，如何应对人为因素及恶劣天候造成的突发地质灾害灾情需要进一步的认真研究与思考。</w:t>
      </w:r>
    </w:p>
    <w:p>
      <w:pPr>
        <w:spacing w:line="440" w:lineRule="exact"/>
        <w:ind w:firstLine="560" w:firstLineChars="200"/>
        <w:rPr>
          <w:rFonts w:hint="eastAsia" w:ascii="宋体" w:hAnsi="宋体" w:cs="宋体"/>
          <w:bCs/>
          <w:color w:val="auto"/>
          <w:sz w:val="28"/>
          <w:szCs w:val="28"/>
        </w:rPr>
      </w:pPr>
      <w:r>
        <w:rPr>
          <w:rFonts w:hint="eastAsia" w:ascii="宋体" w:hAnsi="宋体" w:cs="宋体"/>
          <w:bCs/>
          <w:color w:val="auto"/>
          <w:sz w:val="28"/>
          <w:szCs w:val="28"/>
        </w:rPr>
        <w:t>（四）一些倾向性问题始终得不到较好解决。一是项目质量确保困难。随着项目申报力度的不断加强，我县的土地整治申报和实施规模均达到历史最高值，受人力、物力、资源条件限制，单靠自然资源部门难于保证项目质量。二是征拆风险提高。个别零散征地存在各自为政现象，征地程序和征拆协议不规范、补偿标准不统一，极易诱发不稳定因素。三是卫片问责机率加大。</w:t>
      </w:r>
      <w:r>
        <w:rPr>
          <w:rFonts w:hint="eastAsia" w:ascii="宋体" w:hAnsi="宋体" w:cs="宋体"/>
          <w:color w:val="auto"/>
          <w:sz w:val="28"/>
          <w:szCs w:val="28"/>
        </w:rPr>
        <w:t>现行自然资源法律未赋予自然资源管理部门强制执行权力，在查处违法建（构）筑物时，流程多、耗时长、见效慢，易导致负面舆情。加之受用地单位权责意识和合法用地意识不高等因素影响，自然资源执法始终难于走出“执法难、难执法”的怪圈，年度违占比较上年度有所上升，卫片问责风险不容小觑。</w:t>
      </w:r>
    </w:p>
    <w:p>
      <w:pPr>
        <w:spacing w:line="440" w:lineRule="exact"/>
        <w:ind w:firstLine="560" w:firstLineChars="200"/>
        <w:rPr>
          <w:rFonts w:hint="eastAsia" w:ascii="宋体" w:hAnsi="宋体" w:cs="宋体"/>
          <w:bCs/>
          <w:color w:val="auto"/>
          <w:sz w:val="28"/>
          <w:szCs w:val="28"/>
        </w:rPr>
      </w:pPr>
      <w:r>
        <w:rPr>
          <w:rFonts w:hint="eastAsia" w:ascii="宋体" w:hAnsi="宋体" w:cs="宋体"/>
          <w:bCs/>
          <w:color w:val="auto"/>
          <w:sz w:val="28"/>
          <w:szCs w:val="28"/>
        </w:rPr>
        <w:t>（五）年初预算编制不够全面、细化，预算偏差大。基本支出年初预算不足，大额支出如每年的绩效考核奖金没有纳入预算，导致年末超支；项目支出在实施过程中因客观因素（年中部分新项目的启动等）需追加预算资金较多，如土地成本返还年初无法纳入预算，只能进行年中追加，造成预算调整金额较大。</w:t>
      </w:r>
    </w:p>
    <w:p>
      <w:pPr>
        <w:spacing w:line="440" w:lineRule="exact"/>
        <w:ind w:firstLine="562" w:firstLineChars="200"/>
        <w:rPr>
          <w:rFonts w:hint="eastAsia" w:ascii="宋体" w:hAnsi="宋体" w:cs="宋体"/>
          <w:b/>
          <w:color w:val="auto"/>
          <w:sz w:val="28"/>
          <w:szCs w:val="28"/>
        </w:rPr>
      </w:pPr>
      <w:r>
        <w:rPr>
          <w:rFonts w:hint="eastAsia" w:ascii="宋体" w:hAnsi="宋体" w:cs="宋体"/>
          <w:b/>
          <w:color w:val="auto"/>
          <w:sz w:val="28"/>
          <w:szCs w:val="28"/>
        </w:rPr>
        <w:t>七、改进措施和有关建议</w:t>
      </w:r>
    </w:p>
    <w:p>
      <w:pPr>
        <w:spacing w:line="440" w:lineRule="exact"/>
        <w:ind w:firstLine="560" w:firstLineChars="200"/>
        <w:rPr>
          <w:rFonts w:hint="eastAsia" w:ascii="宋体" w:hAnsi="宋体" w:cs="宋体"/>
          <w:bCs/>
          <w:color w:val="auto"/>
          <w:sz w:val="28"/>
          <w:szCs w:val="28"/>
        </w:rPr>
      </w:pPr>
      <w:r>
        <w:rPr>
          <w:rFonts w:hint="eastAsia" w:ascii="宋体" w:hAnsi="宋体" w:cs="宋体"/>
          <w:bCs/>
          <w:color w:val="auto"/>
          <w:sz w:val="28"/>
          <w:szCs w:val="28"/>
        </w:rPr>
        <w:t>1、面对用地矛盾加大，耕地“占补平衡”矛盾较为尖锐的问题，建议如下：</w:t>
      </w:r>
    </w:p>
    <w:p>
      <w:pPr>
        <w:spacing w:line="440" w:lineRule="exact"/>
        <w:ind w:firstLine="560" w:firstLineChars="200"/>
        <w:rPr>
          <w:rFonts w:hint="eastAsia" w:ascii="宋体" w:hAnsi="宋体" w:cs="宋体"/>
          <w:bCs/>
          <w:color w:val="auto"/>
          <w:sz w:val="28"/>
          <w:szCs w:val="28"/>
        </w:rPr>
      </w:pPr>
      <w:r>
        <w:rPr>
          <w:rFonts w:hint="eastAsia" w:ascii="宋体" w:hAnsi="宋体" w:cs="宋体"/>
          <w:bCs/>
          <w:color w:val="auto"/>
          <w:sz w:val="28"/>
          <w:szCs w:val="28"/>
        </w:rPr>
        <w:t>1.1.进一步摸清耕地资源底数。结合第三次国土调查数据，通过开展调查评价，进一步摸清、搞准全县未利用地的资源底数，实事求是编制土地整治规划，为今后规划的实施奠定科学基础，由部门行为上升为政府行为。无论是总量平衡项目、占补平衡项目，还是农村土地整治示范项目，都需要地方政府发挥主导作用，由政府统一领导和协调，使土地整治工作由部门行为上升为政府行为，切实改变目前自然资源部门唱“独角戏”的被动局面。</w:t>
      </w:r>
    </w:p>
    <w:p>
      <w:pPr>
        <w:spacing w:line="440" w:lineRule="exact"/>
        <w:ind w:firstLine="560" w:firstLineChars="200"/>
        <w:rPr>
          <w:rFonts w:hint="eastAsia" w:ascii="宋体" w:hAnsi="宋体" w:cs="宋体"/>
          <w:bCs/>
          <w:color w:val="auto"/>
          <w:sz w:val="28"/>
          <w:szCs w:val="28"/>
        </w:rPr>
      </w:pPr>
      <w:r>
        <w:rPr>
          <w:rFonts w:hint="eastAsia" w:ascii="宋体" w:hAnsi="宋体" w:cs="宋体"/>
          <w:bCs/>
          <w:color w:val="auto"/>
          <w:sz w:val="28"/>
          <w:szCs w:val="28"/>
        </w:rPr>
        <w:t>1.2.要切实落实耕地占补平衡制度，必须从认识、制度、技术等多方面入手，建立耕地占补平衡的长效机制。另一方面，耕地占补平衡仅仅是一种补救措施，要想真正解决保护耕地问题，最好的途径是要严格控制占用耕地。因此，应该尽量遏制乡镇的外延扩张型发展，利用耕地开垦费和争取国家投资，积极开展土地整理、复垦工作，挖掘现有建设用地潜力，集约节约用地，实现土地资源利用效率的全面提高，从而从根本上扭转耕地锐减的趋势。严格落实耕地保护制度，确保全县43500公顷耕地保有量指标与37047公顷基本农田保有量指标不减少。</w:t>
      </w:r>
    </w:p>
    <w:p>
      <w:pPr>
        <w:spacing w:line="440" w:lineRule="exact"/>
        <w:ind w:firstLine="560" w:firstLineChars="200"/>
        <w:rPr>
          <w:rFonts w:hint="eastAsia" w:ascii="宋体" w:hAnsi="宋体" w:cs="宋体"/>
          <w:bCs/>
          <w:color w:val="auto"/>
          <w:sz w:val="28"/>
          <w:szCs w:val="28"/>
        </w:rPr>
      </w:pPr>
      <w:r>
        <w:rPr>
          <w:rFonts w:hint="eastAsia" w:ascii="宋体" w:hAnsi="宋体" w:cs="宋体"/>
          <w:bCs/>
          <w:color w:val="auto"/>
          <w:sz w:val="28"/>
          <w:szCs w:val="28"/>
        </w:rPr>
        <w:t>1.3.加大对重点工程补充耕地的监管力度，源头控制，引导建设项目选址。加强建设用地动态监管，对占用耕地数量较大的建设项目，在预审阶段就要加强对补充耕地方案可行性的审查，论证补充耕地的后备资源是否有保障，并落实补充耕地单位，严格审查耕地开垦费是否按项目所在地标准足额列入工程预算等。在重点工程建设选址、选线时，应通过严格的专家评议程序，采取少占耕地的最优方案，如绕行、高架、隧道等设计方案，各类建设集约节约用地，积极引导建设项目选址，优先考虑利用荒地、劣地、山地和空地，尽可能不占或者少占耕地，从源头严格控制建设占用耕地，严防侵占优质耕地，在建设项目预审阶段严格把关，对于不符合耕地占补平衡要求和没有落实耕地占补计划的建设项目不得通过审查。进一步明晰重点工程补充耕地任务的主体，完善对重点工程耕地占补平衡的考核和对被征地的补偿办法，积蓄和挖掘土地潜力。</w:t>
      </w:r>
    </w:p>
    <w:p>
      <w:pPr>
        <w:spacing w:line="440" w:lineRule="exact"/>
        <w:ind w:firstLine="560" w:firstLineChars="200"/>
        <w:rPr>
          <w:rFonts w:hint="eastAsia" w:ascii="宋体" w:hAnsi="宋体" w:cs="宋体"/>
          <w:bCs/>
          <w:color w:val="auto"/>
          <w:sz w:val="28"/>
          <w:szCs w:val="28"/>
        </w:rPr>
      </w:pPr>
      <w:r>
        <w:rPr>
          <w:rFonts w:hint="eastAsia" w:ascii="宋体" w:hAnsi="宋体" w:cs="宋体"/>
          <w:bCs/>
          <w:color w:val="auto"/>
          <w:sz w:val="28"/>
          <w:szCs w:val="28"/>
        </w:rPr>
        <w:t>2、全力构建自然资源执法监察新格局。</w:t>
      </w:r>
    </w:p>
    <w:p>
      <w:pPr>
        <w:spacing w:line="440" w:lineRule="exact"/>
        <w:ind w:firstLine="560" w:firstLineChars="200"/>
        <w:rPr>
          <w:rFonts w:hint="eastAsia" w:ascii="宋体" w:hAnsi="宋体" w:cs="宋体"/>
          <w:bCs/>
          <w:color w:val="auto"/>
          <w:sz w:val="28"/>
          <w:szCs w:val="28"/>
        </w:rPr>
      </w:pPr>
      <w:r>
        <w:rPr>
          <w:rFonts w:hint="eastAsia" w:ascii="宋体" w:hAnsi="宋体" w:cs="宋体"/>
          <w:bCs/>
          <w:color w:val="auto"/>
          <w:sz w:val="28"/>
          <w:szCs w:val="28"/>
        </w:rPr>
        <w:t>全面排查全县土地和矿产资源管理使用情况，严格落实卫片执法检查工作要求，确保全县违法占用耕地面积与新增建设用地占用耕地总面积比列小于15%。继续做好全系统行政执法人员业务能力建设，全年完成4次以上执法业务培训与考试；继续加大土地、矿产资源执法巡查密度，保持对违法用地和盗采、超深越界开采矿产资源等违法行为的高压打击态势；按照省、市要求开展好全县砂石土类矿产综合整治和“绿色矿山”建设，完成地质灾害治理项目及应急处置10个以上，完成“矿山复绿”100亩以上。加强对基本农田、乡镇规划区、城乡结合部、道路沿线及各非法矿山的巡查力度，最大限度将违法行为消除在萌芽状态。完善政府主导下的联合执法体系，形成齐抓共管的合力</w:t>
      </w:r>
    </w:p>
    <w:p>
      <w:pPr>
        <w:spacing w:line="440" w:lineRule="exact"/>
        <w:ind w:firstLine="560" w:firstLineChars="200"/>
        <w:rPr>
          <w:rFonts w:hint="eastAsia" w:ascii="宋体" w:hAnsi="宋体" w:cs="宋体"/>
          <w:bCs/>
          <w:color w:val="auto"/>
          <w:sz w:val="28"/>
          <w:szCs w:val="28"/>
        </w:rPr>
      </w:pPr>
      <w:r>
        <w:rPr>
          <w:rFonts w:hint="eastAsia" w:ascii="宋体" w:hAnsi="宋体" w:cs="宋体"/>
          <w:bCs/>
          <w:color w:val="auto"/>
          <w:sz w:val="28"/>
          <w:szCs w:val="28"/>
        </w:rPr>
        <w:t>3、事无巨细做好地质灾害防治各项工作。</w:t>
      </w:r>
    </w:p>
    <w:p>
      <w:pPr>
        <w:spacing w:line="440" w:lineRule="exact"/>
        <w:ind w:firstLine="560" w:firstLineChars="200"/>
        <w:rPr>
          <w:rFonts w:hint="eastAsia" w:ascii="宋体" w:hAnsi="宋体" w:cs="宋体"/>
          <w:bCs/>
          <w:color w:val="auto"/>
          <w:sz w:val="28"/>
          <w:szCs w:val="28"/>
        </w:rPr>
      </w:pPr>
      <w:r>
        <w:rPr>
          <w:rFonts w:hint="eastAsia" w:ascii="宋体" w:hAnsi="宋体" w:cs="宋体"/>
          <w:bCs/>
          <w:color w:val="auto"/>
          <w:sz w:val="28"/>
          <w:szCs w:val="28"/>
        </w:rPr>
        <w:t>进一步加大地质灾害监测和气象预警预报力度，做到信息畅通、预警及时、处置果断。进一步健全完善地灾防治机制，对全县68处隐患点经常性开展地毯式巡查，及时发布预警预报信息、险情督导通知，消除地灾隐患，制止破坏山体建房行为。完成全县地质灾害隐患点摸底排查工作，做好武潭镇清凉村对切坡建房、沟口建房地质灾害调查摸底试点。加强防灾避险知识宣传教育，继续做好流动宣传与墙体固定标语宣传，组织全县群测群防人员进行2次集中培训。</w:t>
      </w:r>
    </w:p>
    <w:p>
      <w:pPr>
        <w:spacing w:line="440" w:lineRule="exact"/>
        <w:ind w:firstLine="560" w:firstLineChars="200"/>
        <w:rPr>
          <w:rFonts w:hint="eastAsia" w:ascii="宋体" w:hAnsi="宋体" w:cs="宋体"/>
          <w:bCs/>
          <w:color w:val="auto"/>
          <w:sz w:val="28"/>
          <w:szCs w:val="28"/>
        </w:rPr>
      </w:pPr>
      <w:r>
        <w:rPr>
          <w:rFonts w:hint="eastAsia" w:ascii="宋体" w:hAnsi="宋体" w:cs="宋体"/>
          <w:bCs/>
          <w:color w:val="auto"/>
          <w:sz w:val="28"/>
          <w:szCs w:val="28"/>
        </w:rPr>
        <w:t>4、盘活用地空间，确保重大项目项目建设用地。</w:t>
      </w:r>
    </w:p>
    <w:p>
      <w:pPr>
        <w:spacing w:line="440" w:lineRule="exact"/>
        <w:ind w:firstLine="560" w:firstLineChars="200"/>
        <w:rPr>
          <w:rFonts w:hint="eastAsia" w:ascii="宋体" w:hAnsi="宋体" w:cs="宋体"/>
          <w:bCs/>
          <w:color w:val="auto"/>
          <w:sz w:val="28"/>
          <w:szCs w:val="28"/>
        </w:rPr>
      </w:pPr>
      <w:r>
        <w:rPr>
          <w:rFonts w:hint="eastAsia" w:ascii="宋体" w:hAnsi="宋体" w:cs="宋体"/>
          <w:bCs/>
          <w:color w:val="auto"/>
          <w:sz w:val="28"/>
          <w:szCs w:val="28"/>
        </w:rPr>
        <w:t>严格执行国家产业政策与供地政策，节约集约用地，合理安排用地计划，全力保障四大会战和民生工程项目用地需求。按照上级主管部门统一部署，合理简化审批环节，强化用地项目包装，进一步提高项目用地报批、供应速度，为建设项目提供优质服务。加大国有存量土地依法收回和闲置土地清理处置力度，有效盘活用地空间。</w:t>
      </w:r>
    </w:p>
    <w:p>
      <w:pPr>
        <w:widowControl/>
        <w:shd w:val="clear" w:color="auto" w:fill="FFFFFF"/>
        <w:spacing w:line="440" w:lineRule="exact"/>
        <w:ind w:firstLine="480"/>
        <w:jc w:val="left"/>
        <w:rPr>
          <w:rFonts w:hint="eastAsia" w:ascii="宋体" w:hAnsi="宋体" w:cs="宋体"/>
          <w:color w:val="auto"/>
          <w:kern w:val="0"/>
          <w:sz w:val="28"/>
          <w:szCs w:val="28"/>
        </w:rPr>
      </w:pPr>
      <w:r>
        <w:rPr>
          <w:rFonts w:hint="eastAsia" w:ascii="宋体" w:hAnsi="宋体" w:cs="宋体"/>
          <w:bCs/>
          <w:color w:val="auto"/>
          <w:sz w:val="28"/>
          <w:szCs w:val="28"/>
        </w:rPr>
        <w:t>5、</w:t>
      </w:r>
      <w:r>
        <w:rPr>
          <w:rFonts w:hint="eastAsia" w:ascii="宋体" w:hAnsi="宋体" w:cs="宋体"/>
          <w:color w:val="auto"/>
          <w:kern w:val="0"/>
          <w:sz w:val="28"/>
          <w:szCs w:val="28"/>
        </w:rPr>
        <w:t>加强新行政事业单位会计制度和新预算法学习培训，科学合理编制预算，严格执行预算。</w:t>
      </w:r>
    </w:p>
    <w:p>
      <w:pPr>
        <w:widowControl/>
        <w:spacing w:line="440" w:lineRule="exact"/>
        <w:ind w:firstLine="560" w:firstLineChars="200"/>
        <w:jc w:val="left"/>
        <w:rPr>
          <w:rFonts w:hint="eastAsia" w:ascii="宋体" w:hAnsi="宋体" w:cs="宋体"/>
          <w:color w:val="auto"/>
          <w:kern w:val="0"/>
          <w:sz w:val="28"/>
          <w:szCs w:val="28"/>
        </w:rPr>
      </w:pPr>
      <w:r>
        <w:rPr>
          <w:rFonts w:hint="eastAsia" w:ascii="宋体" w:hAnsi="宋体" w:cs="宋体"/>
          <w:color w:val="auto"/>
          <w:kern w:val="0"/>
          <w:sz w:val="28"/>
          <w:szCs w:val="28"/>
        </w:rPr>
        <w:t>加强预算编制的前瞻性，按照新《预算法》及其实施条例的相关规定，按政策规定及本部门的发展规划，结合上一年度预算执行情况和本年度预算收支变化因素，科学、合理地编制本年预算草案。遵循预算管理办法，对于年度无法预计的临时追加的相关工作所需费用和结余资金确保资金严格按照预算专项资金使用程序申报及使用，年初预算与追加预算及实际使用预算的内容和明细口径保持一致性，按照预算项目和使用用途执行，杜绝费用项目之间调剂使用现象的发生。避免项目支出与基本支出划分不准或预算支出与实际执行出现较大偏差的情况，执行中确需调剂预算的，按规定程序报经批准。加强新《预算法》、行政事业单位会计制度等学习培训，规范部门预算收支核算，一是制定和完善基本支出、项目支出等各项支出标准，严格按项目和进度执行预算，增强预算的约束力和严肃性。二是落实预算执行分析，按期对比预算与支出情况，预算财务分析常态化。定期做好支出预算财务分析，及时对费用预算执行情况进行通报和预警，定期对下属预算单位的预算执行情况进行检查，做好部门整体支出预算评价工作。及时了解预算执行差异，合理调整、纠正预算执行偏差，提升预算编制质量，加强预算执行与控制力度，切实提高部门预算收支管理水平。</w:t>
      </w:r>
    </w:p>
    <w:p>
      <w:pPr>
        <w:spacing w:line="440" w:lineRule="exact"/>
        <w:ind w:firstLine="560" w:firstLineChars="200"/>
        <w:rPr>
          <w:rFonts w:hint="eastAsia" w:ascii="宋体" w:hAnsi="宋体" w:cs="宋体"/>
          <w:color w:val="auto"/>
          <w:kern w:val="0"/>
          <w:sz w:val="28"/>
          <w:szCs w:val="28"/>
        </w:rPr>
      </w:pPr>
      <w:r>
        <w:rPr>
          <w:rFonts w:hint="eastAsia" w:ascii="宋体" w:hAnsi="宋体" w:cs="宋体"/>
          <w:color w:val="auto"/>
          <w:kern w:val="0"/>
          <w:sz w:val="28"/>
          <w:szCs w:val="28"/>
        </w:rPr>
        <w:t xml:space="preserve"> 6、加强预算收入与预算支出核算，合理编制预算，预算编制时应坚持统筹兼顾、保证重点的原则，保障预算编制的全面性和合理性及准确性。</w:t>
      </w:r>
    </w:p>
    <w:p>
      <w:pPr>
        <w:widowControl/>
        <w:spacing w:line="440" w:lineRule="exact"/>
        <w:ind w:firstLine="280" w:firstLineChars="100"/>
        <w:jc w:val="left"/>
        <w:rPr>
          <w:rFonts w:ascii="宋体" w:hAnsi="宋体" w:cs="宋体"/>
          <w:color w:val="auto"/>
          <w:kern w:val="0"/>
          <w:sz w:val="28"/>
          <w:szCs w:val="28"/>
        </w:rPr>
      </w:pPr>
    </w:p>
    <w:p>
      <w:pPr>
        <w:widowControl/>
        <w:shd w:val="clear" w:color="auto" w:fill="FFFFFF"/>
        <w:spacing w:line="360" w:lineRule="exact"/>
        <w:jc w:val="left"/>
        <w:textAlignment w:val="center"/>
        <w:rPr>
          <w:rFonts w:hint="eastAsia" w:ascii="宋体" w:hAnsi="宋体" w:cs="宋体"/>
          <w:color w:val="auto"/>
          <w:kern w:val="0"/>
          <w:sz w:val="32"/>
          <w:szCs w:val="32"/>
        </w:rPr>
      </w:pPr>
    </w:p>
    <w:p>
      <w:pPr>
        <w:widowControl/>
        <w:shd w:val="clear" w:color="auto" w:fill="FFFFFF"/>
        <w:spacing w:line="360" w:lineRule="exact"/>
        <w:jc w:val="left"/>
        <w:textAlignment w:val="center"/>
        <w:rPr>
          <w:rFonts w:hint="eastAsia" w:ascii="宋体" w:hAnsi="宋体"/>
          <w:bCs/>
          <w:color w:val="auto"/>
          <w:sz w:val="28"/>
          <w:szCs w:val="28"/>
        </w:rPr>
      </w:pPr>
      <w:r>
        <w:rPr>
          <w:rFonts w:hint="eastAsia" w:ascii="宋体" w:hAnsi="宋体"/>
          <w:bCs/>
          <w:color w:val="auto"/>
          <w:sz w:val="28"/>
          <w:szCs w:val="28"/>
        </w:rPr>
        <w:t>附送：  1、2020年度部门整体支出绩效评价基础数据表；</w:t>
      </w:r>
    </w:p>
    <w:p>
      <w:pPr>
        <w:spacing w:line="360" w:lineRule="exact"/>
        <w:ind w:firstLine="560" w:firstLineChars="200"/>
        <w:rPr>
          <w:rFonts w:hint="eastAsia" w:ascii="宋体" w:hAnsi="宋体"/>
          <w:bCs/>
          <w:color w:val="auto"/>
          <w:sz w:val="28"/>
          <w:szCs w:val="28"/>
        </w:rPr>
      </w:pPr>
      <w:r>
        <w:rPr>
          <w:rFonts w:hint="eastAsia" w:ascii="宋体" w:hAnsi="宋体"/>
          <w:bCs/>
          <w:color w:val="auto"/>
          <w:sz w:val="28"/>
          <w:szCs w:val="28"/>
        </w:rPr>
        <w:t xml:space="preserve">    2、2020年度部门整体支出绩效评价评价指标及评分表；</w:t>
      </w:r>
    </w:p>
    <w:p>
      <w:pPr>
        <w:spacing w:line="360" w:lineRule="exact"/>
        <w:ind w:firstLine="560" w:firstLineChars="200"/>
        <w:rPr>
          <w:rFonts w:hint="eastAsia" w:ascii="宋体" w:hAnsi="宋体"/>
          <w:bCs/>
          <w:color w:val="auto"/>
          <w:sz w:val="28"/>
          <w:szCs w:val="28"/>
        </w:rPr>
      </w:pPr>
      <w:r>
        <w:rPr>
          <w:rFonts w:hint="eastAsia" w:ascii="宋体" w:hAnsi="宋体"/>
          <w:bCs/>
          <w:color w:val="auto"/>
          <w:sz w:val="28"/>
          <w:szCs w:val="28"/>
        </w:rPr>
        <w:t xml:space="preserve">    3、目录及相关佐证资料。</w:t>
      </w:r>
    </w:p>
    <w:p>
      <w:pPr>
        <w:spacing w:line="580" w:lineRule="exact"/>
        <w:ind w:firstLine="602" w:firstLineChars="200"/>
        <w:rPr>
          <w:rFonts w:hint="eastAsia" w:ascii="宋体" w:hAnsi="宋体"/>
          <w:b/>
          <w:color w:val="auto"/>
          <w:sz w:val="30"/>
          <w:szCs w:val="30"/>
        </w:rPr>
      </w:pPr>
      <w:r>
        <w:rPr>
          <w:rFonts w:hint="eastAsia" w:ascii="宋体" w:hAnsi="宋体"/>
          <w:b/>
          <w:color w:val="auto"/>
          <w:sz w:val="30"/>
          <w:szCs w:val="30"/>
        </w:rPr>
        <w:t xml:space="preserve">                             </w:t>
      </w:r>
    </w:p>
    <w:p>
      <w:pPr>
        <w:spacing w:line="580" w:lineRule="exact"/>
        <w:ind w:firstLine="5120" w:firstLineChars="1700"/>
        <w:rPr>
          <w:rFonts w:hint="eastAsia" w:ascii="宋体" w:hAnsi="宋体"/>
          <w:b/>
          <w:color w:val="auto"/>
          <w:sz w:val="30"/>
          <w:szCs w:val="30"/>
        </w:rPr>
      </w:pPr>
      <w:r>
        <w:rPr>
          <w:rFonts w:hint="eastAsia" w:ascii="宋体" w:hAnsi="宋体"/>
          <w:b/>
          <w:color w:val="auto"/>
          <w:sz w:val="30"/>
          <w:szCs w:val="30"/>
        </w:rPr>
        <w:t xml:space="preserve">  </w:t>
      </w:r>
      <w:r>
        <w:rPr>
          <w:rFonts w:hint="eastAsia" w:ascii="宋体" w:hAnsi="宋体"/>
          <w:b/>
          <w:color w:val="auto"/>
          <w:sz w:val="32"/>
          <w:szCs w:val="32"/>
        </w:rPr>
        <w:t>桃江县自然资源局</w:t>
      </w:r>
    </w:p>
    <w:p>
      <w:pPr>
        <w:spacing w:line="580" w:lineRule="exact"/>
        <w:ind w:firstLine="643" w:firstLineChars="200"/>
        <w:rPr>
          <w:rFonts w:ascii="宋体" w:hAnsi="宋体"/>
          <w:bCs/>
          <w:color w:val="auto"/>
          <w:sz w:val="28"/>
          <w:szCs w:val="28"/>
        </w:rPr>
      </w:pPr>
      <w:r>
        <w:rPr>
          <w:rFonts w:hint="eastAsia" w:ascii="宋体" w:hAnsi="宋体"/>
          <w:b/>
          <w:color w:val="auto"/>
          <w:sz w:val="32"/>
          <w:szCs w:val="32"/>
        </w:rPr>
        <w:t xml:space="preserve">                              2021年5月20日</w:t>
      </w:r>
    </w:p>
    <w:p>
      <w:pPr>
        <w:rPr>
          <w:color w:val="auto"/>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1" o:spid="_x0000_s2050" o:spt="202" type="#_x0000_t202" style="position:absolute;left:0pt;margin-top:0pt;height:12.05pt;width:10.55pt;mso-position-horizontal:center;mso-position-horizontal-relative:margin;mso-wrap-style:none;z-index:251658240;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B7XTPQAAAAAwEAAA8AAAAAAAAAAQAgAAAAIgAAAGRycy9kb3du&#10;cmV2LnhtbFBLAQIUABQAAAAIAIdO4kAX5AB/zgEAAJcDAAAOAAAAAAAAAAEAIAAAAB8BAABkcnMv&#10;ZTJvRG9jLnhtbFBLBQYAAAAABgAGAFkBAABfBQ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22</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ED4BA"/>
    <w:multiLevelType w:val="singleLevel"/>
    <w:tmpl w:val="5A1ED4BA"/>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56B7F"/>
    <w:rsid w:val="0004319F"/>
    <w:rsid w:val="00163A65"/>
    <w:rsid w:val="0064712B"/>
    <w:rsid w:val="00D56B7F"/>
    <w:rsid w:val="00E23891"/>
    <w:rsid w:val="00F86813"/>
    <w:rsid w:val="010E7354"/>
    <w:rsid w:val="016B1758"/>
    <w:rsid w:val="01ED3190"/>
    <w:rsid w:val="022A6D08"/>
    <w:rsid w:val="025A4069"/>
    <w:rsid w:val="03135672"/>
    <w:rsid w:val="03195363"/>
    <w:rsid w:val="03900E93"/>
    <w:rsid w:val="04AD549C"/>
    <w:rsid w:val="052D0F2C"/>
    <w:rsid w:val="05B04B15"/>
    <w:rsid w:val="05E2631F"/>
    <w:rsid w:val="067047F9"/>
    <w:rsid w:val="075170FD"/>
    <w:rsid w:val="07536394"/>
    <w:rsid w:val="075576BB"/>
    <w:rsid w:val="075A1631"/>
    <w:rsid w:val="0B125BBB"/>
    <w:rsid w:val="0C1F3F8F"/>
    <w:rsid w:val="0D582645"/>
    <w:rsid w:val="0E042E1E"/>
    <w:rsid w:val="0EC45955"/>
    <w:rsid w:val="10BB6005"/>
    <w:rsid w:val="11081B10"/>
    <w:rsid w:val="114229C7"/>
    <w:rsid w:val="11D04CCE"/>
    <w:rsid w:val="12711EA5"/>
    <w:rsid w:val="13524932"/>
    <w:rsid w:val="138C368F"/>
    <w:rsid w:val="14065F67"/>
    <w:rsid w:val="14F33458"/>
    <w:rsid w:val="14F42747"/>
    <w:rsid w:val="152259B4"/>
    <w:rsid w:val="16991770"/>
    <w:rsid w:val="16A93522"/>
    <w:rsid w:val="17A27AAE"/>
    <w:rsid w:val="17F92BC9"/>
    <w:rsid w:val="18336F4A"/>
    <w:rsid w:val="187F7537"/>
    <w:rsid w:val="18B9536E"/>
    <w:rsid w:val="18D70F8E"/>
    <w:rsid w:val="19092548"/>
    <w:rsid w:val="19140D55"/>
    <w:rsid w:val="192C36D6"/>
    <w:rsid w:val="1A276221"/>
    <w:rsid w:val="1A360BAF"/>
    <w:rsid w:val="1BD95472"/>
    <w:rsid w:val="1C492AF2"/>
    <w:rsid w:val="1C4D5229"/>
    <w:rsid w:val="1D0F0EE2"/>
    <w:rsid w:val="1DD82769"/>
    <w:rsid w:val="1F1F3D6B"/>
    <w:rsid w:val="1F6750A9"/>
    <w:rsid w:val="204404A0"/>
    <w:rsid w:val="207C4427"/>
    <w:rsid w:val="20BA7FD0"/>
    <w:rsid w:val="22E75F86"/>
    <w:rsid w:val="23422706"/>
    <w:rsid w:val="23A33F5F"/>
    <w:rsid w:val="25020A39"/>
    <w:rsid w:val="250215E3"/>
    <w:rsid w:val="259877D4"/>
    <w:rsid w:val="25A242DE"/>
    <w:rsid w:val="2887085F"/>
    <w:rsid w:val="28936E9B"/>
    <w:rsid w:val="28A057CF"/>
    <w:rsid w:val="28B115E8"/>
    <w:rsid w:val="29754400"/>
    <w:rsid w:val="29B5101B"/>
    <w:rsid w:val="2A370823"/>
    <w:rsid w:val="2A7379C7"/>
    <w:rsid w:val="2B526833"/>
    <w:rsid w:val="2BF056F3"/>
    <w:rsid w:val="2CD909EA"/>
    <w:rsid w:val="2D077842"/>
    <w:rsid w:val="2D1D6D08"/>
    <w:rsid w:val="2D2C5B43"/>
    <w:rsid w:val="2D7A50F3"/>
    <w:rsid w:val="2FA579BE"/>
    <w:rsid w:val="33BF012E"/>
    <w:rsid w:val="3441151D"/>
    <w:rsid w:val="34535312"/>
    <w:rsid w:val="34A912C3"/>
    <w:rsid w:val="355C4494"/>
    <w:rsid w:val="35CC3EE3"/>
    <w:rsid w:val="36501591"/>
    <w:rsid w:val="36D20366"/>
    <w:rsid w:val="375B5B76"/>
    <w:rsid w:val="37A46EFB"/>
    <w:rsid w:val="37C057FC"/>
    <w:rsid w:val="385602CA"/>
    <w:rsid w:val="38C20BFB"/>
    <w:rsid w:val="38DB2D50"/>
    <w:rsid w:val="39245C93"/>
    <w:rsid w:val="39381D95"/>
    <w:rsid w:val="39B41526"/>
    <w:rsid w:val="39BE748F"/>
    <w:rsid w:val="3A032E50"/>
    <w:rsid w:val="3B2D0587"/>
    <w:rsid w:val="3B2F6DAA"/>
    <w:rsid w:val="3B492A0A"/>
    <w:rsid w:val="3D926F2B"/>
    <w:rsid w:val="3F147781"/>
    <w:rsid w:val="3FC1612B"/>
    <w:rsid w:val="3FCE4B75"/>
    <w:rsid w:val="400B2F2A"/>
    <w:rsid w:val="40482185"/>
    <w:rsid w:val="408215E2"/>
    <w:rsid w:val="41045514"/>
    <w:rsid w:val="417C3438"/>
    <w:rsid w:val="44212457"/>
    <w:rsid w:val="445579DD"/>
    <w:rsid w:val="44873FC1"/>
    <w:rsid w:val="4493569B"/>
    <w:rsid w:val="49031FE0"/>
    <w:rsid w:val="49FA61A7"/>
    <w:rsid w:val="4AFF5011"/>
    <w:rsid w:val="4B500495"/>
    <w:rsid w:val="4B9D392A"/>
    <w:rsid w:val="4BBC3F7A"/>
    <w:rsid w:val="4BD51815"/>
    <w:rsid w:val="4BFD0A72"/>
    <w:rsid w:val="4D8E4E4D"/>
    <w:rsid w:val="4D8F5EE6"/>
    <w:rsid w:val="4E565D54"/>
    <w:rsid w:val="4FF646E7"/>
    <w:rsid w:val="51804C8D"/>
    <w:rsid w:val="524A4DB8"/>
    <w:rsid w:val="5300093F"/>
    <w:rsid w:val="533853DF"/>
    <w:rsid w:val="533B1367"/>
    <w:rsid w:val="537C084E"/>
    <w:rsid w:val="53801196"/>
    <w:rsid w:val="54021202"/>
    <w:rsid w:val="549E6FE2"/>
    <w:rsid w:val="55514BCD"/>
    <w:rsid w:val="55820A02"/>
    <w:rsid w:val="55E85D0A"/>
    <w:rsid w:val="55EF0D2B"/>
    <w:rsid w:val="5608537D"/>
    <w:rsid w:val="572E69B0"/>
    <w:rsid w:val="57362793"/>
    <w:rsid w:val="583F531B"/>
    <w:rsid w:val="58766E7F"/>
    <w:rsid w:val="58BB238E"/>
    <w:rsid w:val="58BE2E33"/>
    <w:rsid w:val="58EB3EB8"/>
    <w:rsid w:val="5A9C7FC4"/>
    <w:rsid w:val="5AFF7ACB"/>
    <w:rsid w:val="5B2121A3"/>
    <w:rsid w:val="5B457C2E"/>
    <w:rsid w:val="5B6D614F"/>
    <w:rsid w:val="5CAA6B33"/>
    <w:rsid w:val="5D5220D4"/>
    <w:rsid w:val="5DEA74CC"/>
    <w:rsid w:val="5FF56323"/>
    <w:rsid w:val="604A1C22"/>
    <w:rsid w:val="605F5B42"/>
    <w:rsid w:val="60DA7DA8"/>
    <w:rsid w:val="631E2606"/>
    <w:rsid w:val="6329567E"/>
    <w:rsid w:val="635C1679"/>
    <w:rsid w:val="63884B7A"/>
    <w:rsid w:val="63C62174"/>
    <w:rsid w:val="63DA5A37"/>
    <w:rsid w:val="6420146B"/>
    <w:rsid w:val="646D3C75"/>
    <w:rsid w:val="64A95C28"/>
    <w:rsid w:val="64F12B77"/>
    <w:rsid w:val="65C329C4"/>
    <w:rsid w:val="66FA5ACB"/>
    <w:rsid w:val="673400FC"/>
    <w:rsid w:val="675A1D42"/>
    <w:rsid w:val="67F07B74"/>
    <w:rsid w:val="67F8403E"/>
    <w:rsid w:val="6879423A"/>
    <w:rsid w:val="690D26DD"/>
    <w:rsid w:val="696040DB"/>
    <w:rsid w:val="6A1B11C1"/>
    <w:rsid w:val="6AE126C1"/>
    <w:rsid w:val="6B622165"/>
    <w:rsid w:val="6BEF6D08"/>
    <w:rsid w:val="6C9C08B3"/>
    <w:rsid w:val="6CAA713B"/>
    <w:rsid w:val="6D3F1D95"/>
    <w:rsid w:val="6DD04171"/>
    <w:rsid w:val="6F25556A"/>
    <w:rsid w:val="6F62558B"/>
    <w:rsid w:val="6FBC4C71"/>
    <w:rsid w:val="6FC50E58"/>
    <w:rsid w:val="6FF6608A"/>
    <w:rsid w:val="70085D55"/>
    <w:rsid w:val="70443611"/>
    <w:rsid w:val="71A66EEE"/>
    <w:rsid w:val="72876F5E"/>
    <w:rsid w:val="7353368B"/>
    <w:rsid w:val="73710004"/>
    <w:rsid w:val="7384165B"/>
    <w:rsid w:val="73910956"/>
    <w:rsid w:val="73CF5FCC"/>
    <w:rsid w:val="75767EC5"/>
    <w:rsid w:val="75EE58E2"/>
    <w:rsid w:val="76124F6E"/>
    <w:rsid w:val="7625089B"/>
    <w:rsid w:val="76A4471F"/>
    <w:rsid w:val="76F57180"/>
    <w:rsid w:val="77054CC4"/>
    <w:rsid w:val="773838AF"/>
    <w:rsid w:val="77E62B12"/>
    <w:rsid w:val="782B2496"/>
    <w:rsid w:val="7B32177B"/>
    <w:rsid w:val="7BA90A6B"/>
    <w:rsid w:val="7BAB6134"/>
    <w:rsid w:val="7C383C24"/>
    <w:rsid w:val="7CC73B16"/>
    <w:rsid w:val="7DEE44E7"/>
    <w:rsid w:val="7E1C313D"/>
    <w:rsid w:val="7EA143F8"/>
    <w:rsid w:val="7ECD2A60"/>
    <w:rsid w:val="7EE42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表格文字"/>
    <w:basedOn w:val="1"/>
    <w:qFormat/>
    <w:uiPriority w:val="99"/>
    <w:pPr>
      <w:spacing w:before="25" w:after="25"/>
      <w:jc w:val="left"/>
    </w:pPr>
    <w:rPr>
      <w:bCs/>
      <w:spacing w:val="10"/>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character" w:customStyle="1" w:styleId="7">
    <w:name w:val="font31"/>
    <w:basedOn w:val="6"/>
    <w:qFormat/>
    <w:uiPriority w:val="0"/>
    <w:rPr>
      <w:rFonts w:hint="eastAsia" w:ascii="宋体" w:hAnsi="宋体" w:eastAsia="宋体" w:cs="宋体"/>
      <w:color w:val="000000"/>
      <w:sz w:val="24"/>
      <w:szCs w:val="24"/>
      <w:u w:val="none"/>
    </w:rPr>
  </w:style>
  <w:style w:type="character" w:customStyle="1" w:styleId="8">
    <w:name w:val="font11"/>
    <w:basedOn w:val="6"/>
    <w:qFormat/>
    <w:uiPriority w:val="0"/>
    <w:rPr>
      <w:rFonts w:hint="eastAsia" w:ascii="宋体" w:hAnsi="宋体" w:eastAsia="宋体" w:cs="宋体"/>
      <w:color w:val="000000"/>
      <w:sz w:val="24"/>
      <w:szCs w:val="24"/>
      <w:u w:val="none"/>
    </w:rPr>
  </w:style>
  <w:style w:type="character" w:customStyle="1" w:styleId="9">
    <w:name w:val="font01"/>
    <w:basedOn w:val="6"/>
    <w:uiPriority w:val="0"/>
    <w:rPr>
      <w:rFonts w:hint="eastAsia" w:ascii="宋体" w:hAnsi="宋体" w:eastAsia="宋体" w:cs="宋体"/>
      <w:color w:val="000000"/>
      <w:sz w:val="24"/>
      <w:szCs w:val="24"/>
      <w:u w:val="none"/>
    </w:rPr>
  </w:style>
  <w:style w:type="character" w:customStyle="1" w:styleId="10">
    <w:name w:val="font21"/>
    <w:basedOn w:val="6"/>
    <w:qFormat/>
    <w:uiPriority w:val="0"/>
    <w:rPr>
      <w:rFonts w:hint="default" w:ascii="Arial" w:hAnsi="Arial" w:cs="Arial"/>
      <w:color w:val="000000"/>
      <w:sz w:val="20"/>
      <w:szCs w:val="20"/>
      <w:u w:val="none"/>
    </w:rPr>
  </w:style>
  <w:style w:type="paragraph" w:customStyle="1" w:styleId="11">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24</Pages>
  <Words>3439</Words>
  <Characters>19607</Characters>
  <Lines>163</Lines>
  <Paragraphs>45</Paragraphs>
  <TotalTime>2</TotalTime>
  <ScaleCrop>false</ScaleCrop>
  <LinksUpToDate>false</LinksUpToDate>
  <CharactersWithSpaces>23001</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2021-06-25T03:11:00Z</dcterms:created>
  <dc:creator>华硕</dc:creator>
  <cp:lastModifiedBy>WPS_1520405781</cp:lastModifiedBy>
  <cp:lastPrinted>2021-06-21T06:45:00Z</cp:lastPrinted>
  <dcterms:modified xsi:type="dcterms:W3CDTF">2021-06-25T03:15:32Z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y fmtid="{D5CDD505-2E9C-101B-9397-08002B2CF9AE}" pid="3" name="ICV">
    <vt:lpwstr>F4E03AA646E84292869661A8605E8767</vt:lpwstr>
  </property>
</Properties>
</file>