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36"/>
          <w:szCs w:val="36"/>
        </w:rPr>
      </w:pPr>
      <w:r>
        <w:rPr>
          <w:rFonts w:hint="eastAsia"/>
          <w:sz w:val="36"/>
          <w:szCs w:val="36"/>
        </w:rPr>
        <w:t>桃江县农业农村局</w:t>
      </w:r>
    </w:p>
    <w:p>
      <w:pPr>
        <w:pStyle w:val="2"/>
        <w:rPr>
          <w:sz w:val="36"/>
          <w:szCs w:val="36"/>
        </w:rPr>
      </w:pPr>
      <w:bookmarkStart w:id="0" w:name="_Toc29744267"/>
      <w:bookmarkStart w:id="1" w:name="_Toc48815577"/>
      <w:r>
        <w:rPr>
          <w:rFonts w:hint="eastAsia"/>
          <w:sz w:val="36"/>
          <w:szCs w:val="36"/>
        </w:rPr>
        <w:t>行政处罚决定书</w:t>
      </w:r>
      <w:bookmarkEnd w:id="0"/>
      <w:bookmarkEnd w:id="1"/>
    </w:p>
    <w:p>
      <w:pPr>
        <w:widowControl/>
        <w:jc w:val="center"/>
        <w:textAlignment w:val="baseline"/>
        <w:rPr>
          <w:rFonts w:ascii="&amp;quot" w:hAnsi="&amp;quot" w:cs="宋体"/>
          <w:kern w:val="0"/>
          <w:sz w:val="24"/>
        </w:rPr>
      </w:pPr>
      <w:r>
        <w:rPr>
          <w:rFonts w:hint="eastAsia" w:ascii="宋体" w:hAnsi="宋体" w:cs="宋体"/>
          <w:kern w:val="0"/>
          <w:sz w:val="32"/>
          <w:szCs w:val="32"/>
          <w:u w:val="single"/>
          <w:shd w:val="clear" w:color="auto" w:fill="FFFFFF"/>
        </w:rPr>
        <w:t>桃农（动监）</w:t>
      </w:r>
      <w:r>
        <w:rPr>
          <w:rFonts w:hint="eastAsia" w:ascii="宋体" w:hAnsi="宋体" w:cs="宋体"/>
          <w:kern w:val="0"/>
          <w:sz w:val="32"/>
          <w:szCs w:val="32"/>
          <w:shd w:val="clear" w:color="auto" w:fill="FFFFFF"/>
        </w:rPr>
        <w:t>罚</w:t>
      </w:r>
      <w:r>
        <w:rPr>
          <w:rFonts w:hint="eastAsia" w:ascii="仿宋_GB2312" w:hAnsi="仿宋_GB2312" w:eastAsia="仿宋_GB2312" w:cs="宋体-18030"/>
          <w:sz w:val="32"/>
          <w:szCs w:val="32"/>
        </w:rPr>
        <w:t>〔2021〕</w:t>
      </w:r>
      <w:r>
        <w:rPr>
          <w:rFonts w:hint="eastAsia" w:ascii="宋体" w:hAnsi="宋体" w:eastAsia="仿宋_GB2312" w:cs="宋体"/>
          <w:kern w:val="0"/>
          <w:sz w:val="32"/>
          <w:szCs w:val="32"/>
          <w:u w:val="single"/>
          <w:shd w:val="clear" w:color="auto" w:fill="FFFFFF"/>
        </w:rPr>
        <w:t>2</w:t>
      </w:r>
      <w:r>
        <w:rPr>
          <w:rFonts w:hint="eastAsia" w:ascii="宋体" w:hAnsi="宋体" w:eastAsia="仿宋_GB2312" w:cs="宋体"/>
          <w:kern w:val="0"/>
          <w:sz w:val="32"/>
          <w:szCs w:val="32"/>
          <w:u w:val="single"/>
          <w:shd w:val="clear" w:color="auto" w:fill="FFFFFF"/>
          <w:lang w:val="en-US" w:eastAsia="zh-CN"/>
        </w:rPr>
        <w:t>4</w:t>
      </w:r>
      <w:r>
        <w:rPr>
          <w:rFonts w:hint="eastAsia" w:ascii="宋体" w:hAnsi="宋体" w:cs="宋体"/>
          <w:kern w:val="0"/>
          <w:sz w:val="32"/>
          <w:szCs w:val="32"/>
          <w:shd w:val="clear" w:color="auto" w:fill="FFFFFF"/>
        </w:rPr>
        <w:t>号</w:t>
      </w:r>
    </w:p>
    <w:p>
      <w:pPr>
        <w:spacing w:beforeLines="50" w:line="590" w:lineRule="exact"/>
        <w:jc w:val="center"/>
        <w:rPr>
          <w:rFonts w:ascii="仿宋_GB2312" w:hAnsi="仿宋_GB2312" w:eastAsia="仿宋_GB2312" w:cs="宋体-18030"/>
          <w:sz w:val="32"/>
          <w:szCs w:val="32"/>
        </w:rPr>
      </w:pPr>
    </w:p>
    <w:p>
      <w:pPr>
        <w:spacing w:line="590" w:lineRule="exact"/>
        <w:ind w:firstLine="640"/>
        <w:rPr>
          <w:rFonts w:ascii="仿宋_GB2312" w:hAnsi="仿宋_GB2312" w:eastAsia="仿宋_GB2312"/>
          <w:sz w:val="32"/>
          <w:szCs w:val="32"/>
        </w:rPr>
      </w:pPr>
      <w:r>
        <w:rPr>
          <w:rFonts w:hint="eastAsia" w:ascii="仿宋_GB2312" w:hAnsi="仿宋_GB2312" w:eastAsia="仿宋_GB2312"/>
          <w:sz w:val="32"/>
          <w:szCs w:val="32"/>
        </w:rPr>
        <w:t>当事人：</w:t>
      </w:r>
      <w:r>
        <w:rPr>
          <w:rFonts w:hint="eastAsia" w:ascii="仿宋_GB2312" w:hAnsi="仿宋_GB2312" w:eastAsia="仿宋_GB2312"/>
          <w:sz w:val="32"/>
          <w:szCs w:val="32"/>
          <w:lang w:val="en-US" w:eastAsia="zh-CN"/>
        </w:rPr>
        <w:t>王XX</w:t>
      </w:r>
      <w:r>
        <w:rPr>
          <w:rFonts w:hint="eastAsia" w:ascii="仿宋_GB2312" w:hAnsi="仿宋_GB2312" w:eastAsia="仿宋_GB2312"/>
          <w:sz w:val="32"/>
          <w:szCs w:val="32"/>
        </w:rPr>
        <w:t xml:space="preserve">  性别：男  民族：汉 </w:t>
      </w:r>
    </w:p>
    <w:p>
      <w:pPr>
        <w:spacing w:line="590" w:lineRule="exact"/>
        <w:ind w:firstLine="640"/>
        <w:rPr>
          <w:rFonts w:ascii="仿宋_GB2312" w:hAnsi="仿宋_GB2312" w:eastAsia="仿宋_GB2312"/>
          <w:sz w:val="32"/>
          <w:szCs w:val="32"/>
        </w:rPr>
      </w:pPr>
      <w:r>
        <w:rPr>
          <w:rFonts w:hint="eastAsia" w:ascii="仿宋_GB2312" w:hAnsi="仿宋_GB2312" w:eastAsia="仿宋_GB2312"/>
          <w:sz w:val="32"/>
          <w:szCs w:val="32"/>
        </w:rPr>
        <w:t>出生日期：19</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日</w:t>
      </w:r>
    </w:p>
    <w:p>
      <w:pPr>
        <w:spacing w:line="590" w:lineRule="exact"/>
        <w:ind w:firstLine="640"/>
        <w:rPr>
          <w:rFonts w:hint="default" w:ascii="仿宋_GB2312" w:hAnsi="仿宋_GB2312" w:eastAsia="仿宋_GB2312"/>
          <w:sz w:val="32"/>
          <w:szCs w:val="32"/>
          <w:lang w:val="en-US" w:eastAsia="zh-CN"/>
        </w:rPr>
      </w:pPr>
      <w:r>
        <w:rPr>
          <w:rFonts w:hint="eastAsia" w:ascii="仿宋_GB2312" w:hAnsi="仿宋_GB2312" w:eastAsia="仿宋_GB2312"/>
          <w:sz w:val="32"/>
          <w:szCs w:val="32"/>
        </w:rPr>
        <w:t>身份证号码：43232519</w:t>
      </w:r>
      <w:r>
        <w:rPr>
          <w:rFonts w:hint="eastAsia" w:ascii="仿宋_GB2312" w:hAnsi="仿宋_GB2312" w:eastAsia="仿宋_GB2312"/>
          <w:sz w:val="32"/>
          <w:szCs w:val="32"/>
          <w:lang w:val="en-US" w:eastAsia="zh-CN"/>
        </w:rPr>
        <w:t>XXXXXXXXXX</w:t>
      </w:r>
    </w:p>
    <w:p>
      <w:pPr>
        <w:spacing w:line="590" w:lineRule="exact"/>
        <w:ind w:firstLine="640"/>
        <w:rPr>
          <w:rFonts w:hint="default" w:ascii="仿宋_GB2312" w:hAnsi="仿宋_GB2312" w:eastAsia="仿宋_GB2312"/>
          <w:sz w:val="32"/>
          <w:szCs w:val="32"/>
          <w:lang w:val="en-US" w:eastAsia="zh-CN"/>
        </w:rPr>
      </w:pPr>
      <w:r>
        <w:rPr>
          <w:rFonts w:hint="eastAsia" w:ascii="仿宋_GB2312" w:hAnsi="仿宋_GB2312" w:eastAsia="仿宋_GB2312"/>
          <w:sz w:val="32"/>
          <w:szCs w:val="32"/>
        </w:rPr>
        <w:t>住址：湖南省桃江县</w:t>
      </w:r>
      <w:r>
        <w:rPr>
          <w:rFonts w:hint="eastAsia" w:ascii="仿宋_GB2312" w:hAnsi="仿宋_GB2312" w:eastAsia="仿宋_GB2312"/>
          <w:sz w:val="32"/>
          <w:szCs w:val="32"/>
          <w:lang w:val="en-US" w:eastAsia="zh-CN"/>
        </w:rPr>
        <w:t>XX镇XX村XX村民组</w:t>
      </w:r>
    </w:p>
    <w:p>
      <w:pPr>
        <w:spacing w:line="640" w:lineRule="exact"/>
        <w:ind w:firstLine="640"/>
        <w:rPr>
          <w:rFonts w:hint="eastAsia" w:ascii="仿宋_GB2312" w:hAnsi="仿宋_GB2312" w:eastAsia="仿宋_GB2312"/>
          <w:sz w:val="32"/>
          <w:szCs w:val="32"/>
        </w:rPr>
      </w:pPr>
    </w:p>
    <w:p>
      <w:pPr>
        <w:keepNext w:val="0"/>
        <w:keepLines w:val="0"/>
        <w:pageBreakBefore w:val="0"/>
        <w:kinsoku/>
        <w:wordWrap/>
        <w:overflowPunct/>
        <w:topLinePunct w:val="0"/>
        <w:autoSpaceDE/>
        <w:autoSpaceDN/>
        <w:bidi w:val="0"/>
        <w:adjustRightInd/>
        <w:snapToGrid/>
        <w:spacing w:line="68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rPr>
        <w:t>当事</w:t>
      </w:r>
      <w:r>
        <w:rPr>
          <w:rFonts w:hint="eastAsia" w:ascii="仿宋_GB2312" w:hAnsi="仿宋_GB2312" w:eastAsia="仿宋_GB2312"/>
          <w:spacing w:val="-4"/>
          <w:sz w:val="32"/>
          <w:szCs w:val="32"/>
        </w:rPr>
        <w:t>人</w:t>
      </w:r>
      <w:bookmarkStart w:id="2" w:name="_GoBack"/>
      <w:r>
        <w:rPr>
          <w:rFonts w:hint="eastAsia" w:ascii="仿宋_GB2312" w:hAnsi="仿宋_GB2312" w:eastAsia="仿宋_GB2312"/>
          <w:spacing w:val="-4"/>
          <w:sz w:val="32"/>
          <w:szCs w:val="32"/>
          <w:lang w:val="en-US" w:eastAsia="zh-CN"/>
        </w:rPr>
        <w:t>王XX跨省引进种用生猪未办理审批手续、</w:t>
      </w:r>
      <w:r>
        <w:rPr>
          <w:rFonts w:hint="eastAsia" w:ascii="仿宋_GB2312" w:hAnsi="仿宋_GB2312" w:eastAsia="仿宋_GB2312"/>
          <w:spacing w:val="-4"/>
          <w:sz w:val="32"/>
          <w:szCs w:val="32"/>
        </w:rPr>
        <w:t>跨省输入生猪未经指定通道进入一案</w:t>
      </w:r>
      <w:bookmarkEnd w:id="2"/>
      <w:r>
        <w:rPr>
          <w:rFonts w:hint="eastAsia" w:ascii="仿宋_GB2312" w:hAnsi="仿宋_GB2312" w:eastAsia="仿宋_GB2312"/>
          <w:spacing w:val="-4"/>
          <w:sz w:val="32"/>
          <w:szCs w:val="32"/>
        </w:rPr>
        <w:t>，经</w:t>
      </w:r>
      <w:r>
        <w:rPr>
          <w:rFonts w:hint="eastAsia" w:ascii="仿宋_GB2312" w:hAnsi="仿宋_GB2312" w:eastAsia="仿宋_GB2312"/>
          <w:sz w:val="32"/>
          <w:szCs w:val="32"/>
        </w:rPr>
        <w:t>本机关依法调查，现查明：</w:t>
      </w:r>
      <w:r>
        <w:rPr>
          <w:rFonts w:hint="eastAsia" w:ascii="仿宋_GB2312" w:hAnsi="仿宋_GB2312" w:eastAsia="仿宋_GB2312"/>
          <w:sz w:val="32"/>
          <w:szCs w:val="32"/>
          <w:lang w:val="en-US" w:eastAsia="zh-CN"/>
        </w:rPr>
        <w:t>桃江县农业综合行政执法大队经湖南省动物卫生监督平台反馈，桃江县XX镇养殖户王XX、易XX跨省引进种猪，检查发现：当事人王XX从牧原联系购买41头种猪，2021年3月21日，分两车到达桃江县XX镇，一车为当事人王XX所有（18头，豫RXXXXX），一车代为同镇养殖户易XX购买（23头，豫RJXXXX），附有动物检疫合格证明（动物A，NO4114089656、NO4114089657、4202099556）和非洲猪瘟检查报告（20210318-W256），代易XX购买的种猪办理了跨省引进种用生猪的点对点调运手续（编号02021110），但当事人王XX不能提供跨省引进种用生猪的点对点调运手续和跨省输入生猪经指定通道进入的检查站凭证。</w:t>
      </w:r>
    </w:p>
    <w:p>
      <w:pPr>
        <w:spacing w:line="640" w:lineRule="exact"/>
        <w:ind w:firstLine="640"/>
        <w:rPr>
          <w:rFonts w:ascii="仿宋_GB2312" w:hAnsi="仿宋_GB2312" w:eastAsia="仿宋_GB2312"/>
          <w:sz w:val="32"/>
          <w:szCs w:val="32"/>
        </w:rPr>
      </w:pPr>
      <w:r>
        <w:rPr>
          <w:rFonts w:hint="eastAsia" w:ascii="仿宋_GB2312" w:hAnsi="仿宋_GB2312" w:eastAsia="仿宋_GB2312"/>
          <w:sz w:val="32"/>
          <w:szCs w:val="32"/>
        </w:rPr>
        <w:t>上述事实，主要有以下证据证明：</w:t>
      </w:r>
    </w:p>
    <w:p>
      <w:pPr>
        <w:keepNext w:val="0"/>
        <w:keepLines w:val="0"/>
        <w:pageBreakBefore w:val="0"/>
        <w:kinsoku/>
        <w:wordWrap/>
        <w:overflowPunct/>
        <w:topLinePunct w:val="0"/>
        <w:autoSpaceDE/>
        <w:autoSpaceDN/>
        <w:bidi w:val="0"/>
        <w:adjustRightInd/>
        <w:snapToGrid/>
        <w:spacing w:line="680" w:lineRule="exact"/>
        <w:ind w:firstLine="640"/>
        <w:textAlignment w:val="auto"/>
        <w:rPr>
          <w:rFonts w:ascii="仿宋_GB2312" w:hAnsi="仿宋_GB2312" w:eastAsia="仿宋_GB2312"/>
          <w:sz w:val="32"/>
          <w:szCs w:val="32"/>
        </w:rPr>
      </w:pPr>
      <w:r>
        <w:rPr>
          <w:rFonts w:hint="eastAsia" w:ascii="仿宋_GB2312" w:hAnsi="仿宋_GB2312" w:eastAsia="仿宋_GB2312"/>
          <w:sz w:val="32"/>
          <w:szCs w:val="32"/>
        </w:rPr>
        <w:t>一、《证据材料登记表1》证明当事人</w:t>
      </w:r>
      <w:r>
        <w:rPr>
          <w:rFonts w:hint="eastAsia" w:ascii="仿宋_GB2312" w:hAnsi="仿宋_GB2312" w:eastAsia="仿宋_GB2312"/>
          <w:sz w:val="32"/>
          <w:szCs w:val="32"/>
          <w:lang w:val="en-US" w:eastAsia="zh-CN"/>
        </w:rPr>
        <w:t>王XX</w:t>
      </w:r>
      <w:r>
        <w:rPr>
          <w:rFonts w:hint="eastAsia" w:ascii="仿宋_GB2312" w:hAnsi="仿宋_GB2312" w:eastAsia="仿宋_GB2312"/>
          <w:sz w:val="32"/>
          <w:szCs w:val="32"/>
        </w:rPr>
        <w:t>身份信息；</w:t>
      </w:r>
    </w:p>
    <w:p>
      <w:pPr>
        <w:keepNext w:val="0"/>
        <w:keepLines w:val="0"/>
        <w:pageBreakBefore w:val="0"/>
        <w:kinsoku/>
        <w:wordWrap/>
        <w:overflowPunct/>
        <w:topLinePunct w:val="0"/>
        <w:autoSpaceDE/>
        <w:autoSpaceDN/>
        <w:bidi w:val="0"/>
        <w:adjustRightInd/>
        <w:snapToGrid/>
        <w:spacing w:line="680" w:lineRule="exact"/>
        <w:ind w:firstLine="640"/>
        <w:textAlignment w:val="auto"/>
        <w:rPr>
          <w:rFonts w:ascii="仿宋_GB2312" w:hAnsi="仿宋_GB2312" w:eastAsia="仿宋_GB2312"/>
          <w:sz w:val="32"/>
          <w:szCs w:val="32"/>
        </w:rPr>
      </w:pPr>
      <w:r>
        <w:rPr>
          <w:rFonts w:hint="eastAsia" w:ascii="仿宋_GB2312" w:hAnsi="仿宋_GB2312" w:eastAsia="仿宋_GB2312"/>
          <w:sz w:val="32"/>
          <w:szCs w:val="32"/>
        </w:rPr>
        <w:t>二、当事人</w:t>
      </w:r>
      <w:r>
        <w:rPr>
          <w:rFonts w:hint="eastAsia" w:ascii="仿宋_GB2312" w:hAnsi="仿宋_GB2312" w:eastAsia="仿宋_GB2312"/>
          <w:sz w:val="32"/>
          <w:szCs w:val="32"/>
          <w:lang w:val="en-US" w:eastAsia="zh-CN"/>
        </w:rPr>
        <w:t>王XX</w:t>
      </w:r>
      <w:r>
        <w:rPr>
          <w:rFonts w:hint="eastAsia" w:ascii="仿宋_GB2312" w:hAnsi="仿宋_GB2312" w:eastAsia="仿宋_GB2312"/>
          <w:sz w:val="32"/>
          <w:szCs w:val="32"/>
        </w:rPr>
        <w:t>询问笔录1份</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页，证明当事人</w:t>
      </w:r>
      <w:r>
        <w:rPr>
          <w:rFonts w:hint="eastAsia" w:ascii="仿宋_GB2312" w:hAnsi="仿宋_GB2312" w:eastAsia="仿宋_GB2312"/>
          <w:spacing w:val="-20"/>
          <w:sz w:val="32"/>
          <w:szCs w:val="32"/>
          <w:lang w:val="en-US" w:eastAsia="zh-CN"/>
        </w:rPr>
        <w:t>王XX跨省引进种用生猪未办理审批手续、</w:t>
      </w:r>
      <w:r>
        <w:rPr>
          <w:rFonts w:hint="eastAsia" w:ascii="仿宋_GB2312" w:hAnsi="仿宋_GB2312" w:eastAsia="仿宋_GB2312"/>
          <w:spacing w:val="-20"/>
          <w:sz w:val="32"/>
          <w:szCs w:val="32"/>
        </w:rPr>
        <w:t>跨省输入生猪未经指定通道进入</w:t>
      </w:r>
      <w:r>
        <w:rPr>
          <w:rFonts w:hint="eastAsia" w:ascii="仿宋_GB2312" w:hAnsi="仿宋_GB2312" w:eastAsia="仿宋_GB2312"/>
          <w:sz w:val="32"/>
          <w:szCs w:val="32"/>
        </w:rPr>
        <w:t>的事实、生猪的来源</w:t>
      </w:r>
      <w:r>
        <w:rPr>
          <w:rFonts w:hint="eastAsia" w:ascii="仿宋_GB2312" w:hAnsi="仿宋_GB2312" w:eastAsia="仿宋_GB2312"/>
          <w:sz w:val="32"/>
          <w:szCs w:val="32"/>
          <w:lang w:val="en-US" w:eastAsia="zh-CN"/>
        </w:rPr>
        <w:t>和去向</w:t>
      </w:r>
      <w:r>
        <w:rPr>
          <w:rFonts w:hint="eastAsia" w:ascii="仿宋_GB2312" w:hAnsi="仿宋_GB2312" w:eastAsia="仿宋_GB2312"/>
          <w:sz w:val="32"/>
          <w:szCs w:val="32"/>
        </w:rPr>
        <w:t>；</w:t>
      </w:r>
    </w:p>
    <w:p>
      <w:pPr>
        <w:keepNext w:val="0"/>
        <w:keepLines w:val="0"/>
        <w:pageBreakBefore w:val="0"/>
        <w:kinsoku/>
        <w:wordWrap/>
        <w:overflowPunct/>
        <w:topLinePunct w:val="0"/>
        <w:autoSpaceDE/>
        <w:autoSpaceDN/>
        <w:bidi w:val="0"/>
        <w:adjustRightInd/>
        <w:snapToGrid/>
        <w:spacing w:line="680" w:lineRule="exact"/>
        <w:ind w:firstLine="640"/>
        <w:textAlignment w:val="auto"/>
        <w:rPr>
          <w:rFonts w:ascii="仿宋_GB2312" w:hAnsi="仿宋_GB2312" w:eastAsia="仿宋_GB2312"/>
          <w:sz w:val="32"/>
          <w:szCs w:val="32"/>
        </w:rPr>
      </w:pPr>
      <w:r>
        <w:rPr>
          <w:rFonts w:hint="eastAsia" w:ascii="仿宋_GB2312" w:hAnsi="仿宋_GB2312" w:eastAsia="仿宋_GB2312"/>
          <w:sz w:val="32"/>
          <w:szCs w:val="32"/>
        </w:rPr>
        <w:t>三、《证据材料登记表2》证明</w:t>
      </w:r>
      <w:r>
        <w:rPr>
          <w:rFonts w:hint="eastAsia" w:ascii="仿宋_GB2312" w:hAnsi="仿宋_GB2312" w:eastAsia="仿宋_GB2312"/>
          <w:sz w:val="32"/>
          <w:szCs w:val="32"/>
          <w:lang w:val="en-US" w:eastAsia="zh-CN"/>
        </w:rPr>
        <w:t>易XX</w:t>
      </w:r>
      <w:r>
        <w:rPr>
          <w:rFonts w:hint="eastAsia" w:ascii="仿宋_GB2312" w:hAnsi="仿宋_GB2312" w:eastAsia="仿宋_GB2312"/>
          <w:sz w:val="32"/>
          <w:szCs w:val="32"/>
        </w:rPr>
        <w:t>身份信息；</w:t>
      </w:r>
    </w:p>
    <w:p>
      <w:pPr>
        <w:keepNext w:val="0"/>
        <w:keepLines w:val="0"/>
        <w:pageBreakBefore w:val="0"/>
        <w:kinsoku/>
        <w:wordWrap/>
        <w:overflowPunct/>
        <w:topLinePunct w:val="0"/>
        <w:autoSpaceDE/>
        <w:autoSpaceDN/>
        <w:bidi w:val="0"/>
        <w:adjustRightInd/>
        <w:snapToGrid/>
        <w:spacing w:line="680" w:lineRule="exact"/>
        <w:ind w:firstLine="640"/>
        <w:textAlignment w:val="auto"/>
        <w:rPr>
          <w:rFonts w:ascii="仿宋_GB2312" w:hAnsi="仿宋_GB2312" w:eastAsia="仿宋_GB2312"/>
          <w:sz w:val="32"/>
          <w:szCs w:val="32"/>
        </w:rPr>
      </w:pPr>
      <w:r>
        <w:rPr>
          <w:rFonts w:hint="eastAsia" w:ascii="仿宋_GB2312" w:hAnsi="仿宋_GB2312" w:eastAsia="仿宋_GB2312"/>
          <w:sz w:val="32"/>
          <w:szCs w:val="32"/>
        </w:rPr>
        <w:t>四、</w:t>
      </w:r>
      <w:r>
        <w:rPr>
          <w:rFonts w:hint="eastAsia" w:ascii="仿宋_GB2312" w:hAnsi="仿宋_GB2312" w:eastAsia="仿宋_GB2312"/>
          <w:sz w:val="32"/>
          <w:szCs w:val="32"/>
          <w:lang w:val="en-US" w:eastAsia="zh-CN"/>
        </w:rPr>
        <w:t>易XX</w:t>
      </w:r>
      <w:r>
        <w:rPr>
          <w:rFonts w:hint="eastAsia" w:ascii="仿宋_GB2312" w:hAnsi="仿宋_GB2312" w:eastAsia="仿宋_GB2312"/>
          <w:sz w:val="32"/>
          <w:szCs w:val="32"/>
        </w:rPr>
        <w:t>询问笔录1份3页，证明涉案生猪的来源</w:t>
      </w:r>
      <w:r>
        <w:rPr>
          <w:rFonts w:hint="eastAsia" w:ascii="仿宋_GB2312" w:hAnsi="仿宋_GB2312" w:eastAsia="仿宋_GB2312"/>
          <w:sz w:val="32"/>
          <w:szCs w:val="32"/>
          <w:lang w:val="en-US" w:eastAsia="zh-CN"/>
        </w:rPr>
        <w:t>和去向</w:t>
      </w:r>
      <w:r>
        <w:rPr>
          <w:rFonts w:hint="eastAsia" w:ascii="仿宋_GB2312" w:hAnsi="仿宋_GB2312" w:eastAsia="仿宋_GB2312"/>
          <w:sz w:val="32"/>
          <w:szCs w:val="32"/>
        </w:rPr>
        <w:t>；</w:t>
      </w:r>
    </w:p>
    <w:p>
      <w:pPr>
        <w:keepNext w:val="0"/>
        <w:keepLines w:val="0"/>
        <w:pageBreakBefore w:val="0"/>
        <w:kinsoku/>
        <w:wordWrap/>
        <w:overflowPunct/>
        <w:topLinePunct w:val="0"/>
        <w:autoSpaceDE/>
        <w:autoSpaceDN/>
        <w:bidi w:val="0"/>
        <w:adjustRightInd/>
        <w:snapToGrid/>
        <w:spacing w:line="680" w:lineRule="exact"/>
        <w:ind w:firstLine="640"/>
        <w:textAlignment w:val="auto"/>
        <w:rPr>
          <w:rFonts w:ascii="仿宋_GB2312" w:hAnsi="仿宋_GB2312" w:eastAsia="仿宋_GB2312"/>
          <w:sz w:val="32"/>
          <w:szCs w:val="32"/>
        </w:rPr>
      </w:pPr>
      <w:r>
        <w:rPr>
          <w:rFonts w:hint="eastAsia" w:ascii="仿宋_GB2312" w:hAnsi="仿宋_GB2312" w:eastAsia="仿宋_GB2312"/>
          <w:sz w:val="32"/>
          <w:szCs w:val="32"/>
        </w:rPr>
        <w:t>五、涉案生猪动物检疫合格证明复印件、非洲猪瘟检查报告复印件；</w:t>
      </w:r>
    </w:p>
    <w:p>
      <w:pPr>
        <w:keepNext w:val="0"/>
        <w:keepLines w:val="0"/>
        <w:pageBreakBefore w:val="0"/>
        <w:kinsoku/>
        <w:wordWrap/>
        <w:overflowPunct/>
        <w:topLinePunct w:val="0"/>
        <w:autoSpaceDE/>
        <w:autoSpaceDN/>
        <w:bidi w:val="0"/>
        <w:adjustRightInd/>
        <w:snapToGrid/>
        <w:spacing w:line="680" w:lineRule="exact"/>
        <w:ind w:firstLine="640"/>
        <w:textAlignment w:val="auto"/>
        <w:rPr>
          <w:rFonts w:ascii="仿宋_GB2312" w:hAnsi="仿宋_GB2312" w:eastAsia="仿宋_GB2312"/>
          <w:sz w:val="32"/>
          <w:szCs w:val="32"/>
        </w:rPr>
      </w:pPr>
      <w:r>
        <w:rPr>
          <w:rFonts w:hint="eastAsia" w:ascii="仿宋_GB2312" w:hAnsi="仿宋_GB2312" w:eastAsia="仿宋_GB2312"/>
          <w:sz w:val="32"/>
          <w:szCs w:val="32"/>
        </w:rPr>
        <w:t>六、</w:t>
      </w:r>
      <w:r>
        <w:rPr>
          <w:rFonts w:hint="eastAsia" w:ascii="仿宋_GB2312" w:hAnsi="仿宋_GB2312" w:eastAsia="仿宋_GB2312"/>
          <w:sz w:val="32"/>
          <w:szCs w:val="32"/>
          <w:lang w:val="en-US" w:eastAsia="zh-CN"/>
        </w:rPr>
        <w:t>易XX跨省引进乳用种用动物检疫审批表（编号02021110）复印件</w:t>
      </w:r>
      <w:r>
        <w:rPr>
          <w:rFonts w:hint="eastAsia" w:ascii="仿宋_GB2312" w:hAnsi="仿宋_GB2312" w:eastAsia="仿宋_GB2312"/>
          <w:sz w:val="32"/>
          <w:szCs w:val="32"/>
        </w:rPr>
        <w:t>；</w:t>
      </w:r>
    </w:p>
    <w:p>
      <w:pPr>
        <w:spacing w:line="59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七、</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中南区联防〔2020〕1号，关于印发中南区生猪调运管理办法、动物及动物产品指定通道检查站规范化建设指引和指定通道检查站名单的通知</w:t>
      </w:r>
      <w:r>
        <w:rPr>
          <w:rFonts w:hint="eastAsia" w:ascii="仿宋_GB2312" w:hAnsi="仿宋_GB2312" w:eastAsia="仿宋_GB2312"/>
          <w:sz w:val="32"/>
          <w:szCs w:val="32"/>
          <w:lang w:eastAsia="zh-CN"/>
        </w:rPr>
        <w:t>》</w:t>
      </w:r>
      <w:r>
        <w:rPr>
          <w:rFonts w:hint="eastAsia" w:ascii="仿宋_GB2312" w:hAnsi="仿宋_GB2312" w:eastAsia="仿宋_GB2312"/>
          <w:spacing w:val="-4"/>
          <w:sz w:val="32"/>
          <w:szCs w:val="32"/>
        </w:rPr>
        <w:t>（中南区联防〔2020〕1号）复印件</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ascii="仿宋_GB2312" w:hAnsi="仿宋_GB2312" w:eastAsia="仿宋_GB2312"/>
          <w:sz w:val="32"/>
          <w:szCs w:val="32"/>
        </w:rPr>
      </w:pPr>
      <w:r>
        <w:rPr>
          <w:rFonts w:hint="eastAsia" w:ascii="仿宋_GB2312" w:hAnsi="仿宋_GB2312" w:eastAsia="仿宋_GB2312"/>
          <w:sz w:val="32"/>
          <w:szCs w:val="32"/>
        </w:rPr>
        <w:t>本机关认为：</w:t>
      </w:r>
      <w:r>
        <w:rPr>
          <w:rFonts w:hint="eastAsia" w:ascii="仿宋_GB2312" w:hAnsi="仿宋_GB2312" w:eastAsia="仿宋_GB2312"/>
          <w:sz w:val="32"/>
          <w:szCs w:val="32"/>
          <w:lang w:val="en-US" w:eastAsia="zh-CN"/>
        </w:rPr>
        <w:t>当事人王XX</w:t>
      </w:r>
      <w:r>
        <w:rPr>
          <w:rFonts w:hint="eastAsia" w:ascii="仿宋_GB2312" w:hAnsi="仿宋_GB2312" w:eastAsia="仿宋_GB2312"/>
          <w:spacing w:val="-20"/>
          <w:sz w:val="32"/>
          <w:szCs w:val="32"/>
          <w:lang w:val="en-US" w:eastAsia="zh-CN"/>
        </w:rPr>
        <w:t>跨省引进种用生猪未办理审批手续的行为违反了</w:t>
      </w:r>
      <w:r>
        <w:rPr>
          <w:rFonts w:hint="eastAsia" w:ascii="仿宋_GB2312" w:hAnsi="仿宋_GB2312" w:eastAsia="仿宋_GB2312"/>
          <w:sz w:val="32"/>
          <w:szCs w:val="32"/>
        </w:rPr>
        <w:t>《中华人民共和国动物防疫</w:t>
      </w:r>
      <w:r>
        <w:rPr>
          <w:rFonts w:hint="eastAsia" w:ascii="仿宋_GB2312" w:hAnsi="仿宋_GB2312" w:eastAsia="仿宋_GB2312" w:cstheme="minorBidi"/>
          <w:kern w:val="2"/>
          <w:sz w:val="32"/>
          <w:szCs w:val="32"/>
        </w:rPr>
        <w:t>法》第四十六条</w:t>
      </w:r>
      <w:r>
        <w:rPr>
          <w:rFonts w:hint="eastAsia" w:ascii="仿宋_GB2312" w:hAnsi="仿宋_GB2312" w:eastAsia="仿宋_GB2312" w:cstheme="minorBidi"/>
          <w:kern w:val="2"/>
          <w:sz w:val="32"/>
          <w:szCs w:val="32"/>
          <w:lang w:eastAsia="zh-CN"/>
        </w:rPr>
        <w:t>：“</w:t>
      </w:r>
      <w:r>
        <w:rPr>
          <w:rFonts w:hint="eastAsia" w:ascii="仿宋_GB2312" w:hAnsi="仿宋_GB2312" w:eastAsia="仿宋_GB2312" w:cstheme="minorBidi"/>
          <w:kern w:val="2"/>
          <w:sz w:val="32"/>
          <w:szCs w:val="32"/>
        </w:rPr>
        <w:t>跨省、自治区、直辖市引进乳用动物、种用动物及其精液、胚胎、种蛋的，应当向输入地省、自治区、直辖市动物卫生监督机构申请办理审批手续，并依照本法第四十二条的规定取得检疫证明。</w:t>
      </w:r>
      <w:r>
        <w:rPr>
          <w:rFonts w:hint="eastAsia" w:ascii="仿宋_GB2312" w:hAnsi="仿宋_GB2312" w:eastAsia="仿宋_GB2312" w:cstheme="minorBidi"/>
          <w:kern w:val="2"/>
          <w:sz w:val="32"/>
          <w:szCs w:val="32"/>
          <w:lang w:eastAsia="zh-CN"/>
        </w:rPr>
        <w:t>”</w:t>
      </w:r>
      <w:r>
        <w:rPr>
          <w:rFonts w:hint="eastAsia" w:ascii="仿宋_GB2312" w:hAnsi="仿宋_GB2312" w:eastAsia="仿宋_GB2312" w:cstheme="minorBidi"/>
          <w:kern w:val="2"/>
          <w:sz w:val="32"/>
          <w:szCs w:val="32"/>
          <w:lang w:val="en-US" w:eastAsia="zh-CN"/>
        </w:rPr>
        <w:t>之规定；</w:t>
      </w:r>
      <w:r>
        <w:rPr>
          <w:rFonts w:hint="eastAsia" w:ascii="仿宋_GB2312" w:hAnsi="仿宋_GB2312" w:eastAsia="仿宋_GB2312"/>
          <w:sz w:val="32"/>
          <w:szCs w:val="32"/>
        </w:rPr>
        <w:t>当事人</w:t>
      </w:r>
      <w:r>
        <w:rPr>
          <w:rFonts w:hint="eastAsia" w:ascii="仿宋_GB2312" w:hAnsi="仿宋_GB2312" w:eastAsia="仿宋_GB2312"/>
          <w:sz w:val="32"/>
          <w:szCs w:val="32"/>
          <w:lang w:val="en-US" w:eastAsia="zh-CN"/>
        </w:rPr>
        <w:t>王XX</w:t>
      </w:r>
      <w:r>
        <w:rPr>
          <w:rFonts w:hint="eastAsia" w:ascii="仿宋_GB2312" w:hAnsi="仿宋_GB2312" w:eastAsia="仿宋_GB2312"/>
          <w:sz w:val="32"/>
          <w:szCs w:val="32"/>
        </w:rPr>
        <w:t>跨省输入生猪未经指定通道进入</w:t>
      </w:r>
      <w:r>
        <w:rPr>
          <w:rFonts w:hint="eastAsia" w:ascii="仿宋_GB2312" w:hAnsi="仿宋_GB2312" w:eastAsia="仿宋_GB2312"/>
          <w:sz w:val="32"/>
          <w:szCs w:val="32"/>
          <w:lang w:val="en-US" w:eastAsia="zh-CN"/>
        </w:rPr>
        <w:t>的行为</w:t>
      </w:r>
      <w:r>
        <w:rPr>
          <w:rFonts w:hint="eastAsia" w:ascii="仿宋_GB2312" w:hAnsi="仿宋_GB2312" w:eastAsia="仿宋_GB2312"/>
          <w:sz w:val="32"/>
          <w:szCs w:val="32"/>
        </w:rPr>
        <w:t>违反了《中华人民共和国动物防疫法》第八十条第一项：“违反本法规定，有下列行为之一的，由动物卫生监督机构责令改正，处一千元以上一万元以下罚款：（一）不遵守县级以上人民政府及其兽医主管部门依法作出的有关控制、扑灭动物疫病规定的</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中南区生猪调运管理办法》第九条第四项“从事生猪运输的单位和个人应当遵守下列规定：（四）经公路运输生猪时，应从中南区或中南区各省（区）公布的动物及动物产品指定通道入境，主动接受动物及动物产品指定通道检查站的监督检查。”</w:t>
      </w:r>
      <w:r>
        <w:rPr>
          <w:rFonts w:hint="eastAsia" w:ascii="仿宋_GB2312" w:hAnsi="仿宋_GB2312" w:eastAsia="仿宋_GB2312"/>
          <w:sz w:val="32"/>
          <w:szCs w:val="32"/>
        </w:rPr>
        <w:t>的规定。桃江县农业农村局于2021年4月</w:t>
      </w:r>
      <w:r>
        <w:rPr>
          <w:rFonts w:hint="eastAsia" w:ascii="仿宋_GB2312" w:hAnsi="仿宋_GB2312" w:eastAsia="仿宋_GB2312"/>
          <w:sz w:val="32"/>
          <w:szCs w:val="32"/>
          <w:lang w:val="en-US" w:eastAsia="zh-CN"/>
        </w:rPr>
        <w:t>16</w:t>
      </w:r>
      <w:r>
        <w:rPr>
          <w:rFonts w:hint="eastAsia" w:ascii="仿宋_GB2312" w:hAnsi="仿宋_GB2312" w:eastAsia="仿宋_GB2312"/>
          <w:sz w:val="32"/>
          <w:szCs w:val="32"/>
        </w:rPr>
        <w:t>日下达了《行政处罚事先告知书》（桃农（动监）告〔2021〕2</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号），于2021年4月</w:t>
      </w:r>
      <w:r>
        <w:rPr>
          <w:rFonts w:hint="eastAsia" w:ascii="仿宋_GB2312" w:hAnsi="仿宋_GB2312" w:eastAsia="仿宋_GB2312"/>
          <w:sz w:val="32"/>
          <w:szCs w:val="32"/>
          <w:lang w:val="en-US" w:eastAsia="zh-CN"/>
        </w:rPr>
        <w:t>16</w:t>
      </w:r>
      <w:r>
        <w:rPr>
          <w:rFonts w:hint="eastAsia" w:ascii="仿宋_GB2312" w:hAnsi="仿宋_GB2312" w:eastAsia="仿宋_GB2312"/>
          <w:sz w:val="32"/>
          <w:szCs w:val="32"/>
        </w:rPr>
        <w:t>日在桃江县桃花江镇文化路41号桃江县农业综合行政执法大队办公室直接送达当事人，并告知其有陈述申辩和申请听证的权力。当事人</w:t>
      </w:r>
      <w:r>
        <w:rPr>
          <w:rFonts w:hint="eastAsia" w:ascii="仿宋_GB2312" w:hAnsi="仿宋_GB2312" w:eastAsia="仿宋_GB2312"/>
          <w:sz w:val="32"/>
          <w:szCs w:val="32"/>
          <w:lang w:val="en-US" w:eastAsia="zh-CN"/>
        </w:rPr>
        <w:t>王XX</w:t>
      </w:r>
      <w:r>
        <w:rPr>
          <w:rFonts w:hint="eastAsia" w:ascii="仿宋_GB2312" w:hAnsi="仿宋_GB2312" w:eastAsia="仿宋_GB2312"/>
          <w:sz w:val="32"/>
          <w:szCs w:val="32"/>
        </w:rPr>
        <w:t>在法定期限内未进行陈述申辩和申请听证。</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lang w:val="en-US" w:eastAsia="zh-CN"/>
        </w:rPr>
        <w:t>当事人王XX</w:t>
      </w:r>
      <w:r>
        <w:rPr>
          <w:rFonts w:hint="eastAsia" w:ascii="仿宋_GB2312" w:hAnsi="仿宋_GB2312" w:eastAsia="仿宋_GB2312"/>
          <w:spacing w:val="-20"/>
          <w:sz w:val="32"/>
          <w:szCs w:val="32"/>
          <w:lang w:val="en-US" w:eastAsia="zh-CN"/>
        </w:rPr>
        <w:t>跨省引进种用生猪未办理审批手续的行为依照</w:t>
      </w:r>
      <w:r>
        <w:rPr>
          <w:rFonts w:hint="eastAsia" w:ascii="仿宋_GB2312" w:hAnsi="仿宋_GB2312" w:eastAsia="仿宋_GB2312"/>
          <w:sz w:val="32"/>
          <w:szCs w:val="32"/>
        </w:rPr>
        <w:t>《中华人民共和国动物防疫法》</w:t>
      </w:r>
      <w:r>
        <w:rPr>
          <w:rFonts w:hint="eastAsia" w:ascii="仿宋_GB2312" w:hAnsi="仿宋_GB2312" w:eastAsia="仿宋_GB2312"/>
          <w:sz w:val="32"/>
          <w:szCs w:val="32"/>
          <w:lang w:val="en-US" w:eastAsia="zh-CN"/>
        </w:rPr>
        <w:t>第七十七条第二项：</w:t>
      </w:r>
      <w:r>
        <w:rPr>
          <w:rFonts w:hint="eastAsia" w:ascii="仿宋_GB2312" w:hAnsi="仿宋_GB2312" w:eastAsia="仿宋_GB2312" w:cstheme="minorBidi"/>
          <w:kern w:val="2"/>
          <w:sz w:val="32"/>
          <w:szCs w:val="32"/>
          <w:lang w:val="en-US" w:eastAsia="zh-CN"/>
        </w:rPr>
        <w:t>“</w:t>
      </w:r>
      <w:r>
        <w:rPr>
          <w:rFonts w:hint="eastAsia" w:ascii="仿宋_GB2312" w:hAnsi="仿宋_GB2312" w:eastAsia="仿宋_GB2312" w:cstheme="minorBidi"/>
          <w:kern w:val="2"/>
          <w:sz w:val="32"/>
          <w:szCs w:val="32"/>
        </w:rPr>
        <w:t>违反本法规定，有下列行为之一的，由动物卫生监督机构责令改正，处一千元以上一万元以下罚款；情节严重的，处一万元以上十万元以下罚款：（二）未办理审批手续，跨省、自治区、直辖市引进乳用动物、种用动物及其精液、胚胎、种蛋的；</w:t>
      </w:r>
      <w:r>
        <w:rPr>
          <w:rFonts w:hint="eastAsia" w:ascii="仿宋_GB2312" w:hAnsi="仿宋_GB2312" w:eastAsia="仿宋_GB2312"/>
          <w:sz w:val="32"/>
          <w:szCs w:val="32"/>
          <w:lang w:val="en-US" w:eastAsia="zh-CN"/>
        </w:rPr>
        <w:t>”参照</w:t>
      </w:r>
      <w:r>
        <w:rPr>
          <w:rFonts w:hint="eastAsia" w:ascii="仿宋_GB2312" w:hAnsi="仿宋_GB2312" w:eastAsia="仿宋_GB2312"/>
          <w:sz w:val="32"/>
          <w:szCs w:val="32"/>
        </w:rPr>
        <w:t>《湖南</w:t>
      </w:r>
      <w:r>
        <w:rPr>
          <w:rFonts w:hint="eastAsia" w:ascii="仿宋_GB2312" w:hAnsi="仿宋_GB2312" w:eastAsia="仿宋_GB2312" w:cstheme="minorBidi"/>
          <w:kern w:val="2"/>
          <w:sz w:val="32"/>
          <w:szCs w:val="32"/>
        </w:rPr>
        <w:t>省农业</w:t>
      </w:r>
      <w:r>
        <w:rPr>
          <w:rFonts w:hint="eastAsia" w:ascii="仿宋_GB2312" w:hAnsi="仿宋_GB2312" w:eastAsia="仿宋_GB2312" w:cstheme="minorBidi"/>
          <w:kern w:val="2"/>
          <w:sz w:val="32"/>
          <w:szCs w:val="32"/>
          <w:lang w:val="en-US" w:eastAsia="zh-CN"/>
        </w:rPr>
        <w:t>行政</w:t>
      </w:r>
      <w:r>
        <w:rPr>
          <w:rFonts w:hint="eastAsia" w:ascii="仿宋_GB2312" w:hAnsi="仿宋_GB2312" w:eastAsia="仿宋_GB2312" w:cstheme="minorBidi"/>
          <w:kern w:val="2"/>
          <w:sz w:val="32"/>
          <w:szCs w:val="32"/>
        </w:rPr>
        <w:t>处罚自由裁量权</w:t>
      </w:r>
      <w:r>
        <w:rPr>
          <w:rFonts w:hint="eastAsia" w:ascii="仿宋_GB2312" w:hAnsi="仿宋_GB2312" w:eastAsia="仿宋_GB2312" w:cstheme="minorBidi"/>
          <w:kern w:val="2"/>
          <w:sz w:val="32"/>
          <w:szCs w:val="32"/>
          <w:lang w:val="en-US" w:eastAsia="zh-CN"/>
        </w:rPr>
        <w:t>基准</w:t>
      </w:r>
      <w:r>
        <w:rPr>
          <w:rFonts w:hint="eastAsia" w:ascii="仿宋_GB2312" w:hAnsi="仿宋_GB2312" w:eastAsia="仿宋_GB2312" w:cstheme="minorBidi"/>
          <w:kern w:val="2"/>
          <w:sz w:val="32"/>
          <w:szCs w:val="32"/>
        </w:rPr>
        <w:t>》第一百零</w:t>
      </w:r>
      <w:r>
        <w:rPr>
          <w:rFonts w:hint="eastAsia" w:ascii="仿宋_GB2312" w:hAnsi="仿宋_GB2312" w:eastAsia="仿宋_GB2312" w:cstheme="minorBidi"/>
          <w:kern w:val="2"/>
          <w:sz w:val="32"/>
          <w:szCs w:val="32"/>
          <w:lang w:val="en-US" w:eastAsia="zh-CN"/>
        </w:rPr>
        <w:t>二</w:t>
      </w:r>
      <w:r>
        <w:rPr>
          <w:rFonts w:hint="eastAsia" w:ascii="仿宋_GB2312" w:hAnsi="仿宋_GB2312" w:eastAsia="仿宋_GB2312" w:cstheme="minorBidi"/>
          <w:kern w:val="2"/>
          <w:sz w:val="32"/>
          <w:szCs w:val="32"/>
        </w:rPr>
        <w:t>条：</w:t>
      </w:r>
      <w:r>
        <w:rPr>
          <w:rFonts w:hint="eastAsia" w:ascii="仿宋_GB2312" w:hAnsi="仿宋_GB2312" w:eastAsia="仿宋_GB2312" w:cstheme="minorBidi"/>
          <w:kern w:val="2"/>
          <w:sz w:val="32"/>
          <w:szCs w:val="32"/>
          <w:lang w:eastAsia="zh-CN"/>
        </w:rPr>
        <w:t>“</w:t>
      </w:r>
      <w:r>
        <w:rPr>
          <w:rFonts w:hint="eastAsia" w:ascii="仿宋_GB2312" w:hAnsi="仿宋_GB2312" w:eastAsia="仿宋_GB2312" w:cstheme="minorBidi"/>
          <w:kern w:val="2"/>
          <w:sz w:val="32"/>
          <w:szCs w:val="32"/>
        </w:rPr>
        <w:t>1、违法当事人初次发生上述违法行为的，责令改正，处1000元以上5000元以下罚款。</w:t>
      </w:r>
      <w:r>
        <w:rPr>
          <w:rFonts w:hint="eastAsia" w:ascii="仿宋_GB2312" w:hAnsi="仿宋_GB2312" w:eastAsia="仿宋_GB2312" w:cstheme="minorBidi"/>
          <w:kern w:val="2"/>
          <w:sz w:val="32"/>
          <w:szCs w:val="32"/>
          <w:lang w:eastAsia="zh-CN"/>
        </w:rPr>
        <w:t>”</w:t>
      </w:r>
      <w:r>
        <w:rPr>
          <w:rFonts w:hint="eastAsia" w:ascii="仿宋_GB2312" w:hAnsi="仿宋_GB2312" w:eastAsia="仿宋_GB2312" w:cstheme="minorBidi"/>
          <w:kern w:val="2"/>
          <w:sz w:val="32"/>
          <w:szCs w:val="32"/>
          <w:lang w:val="en-US" w:eastAsia="zh-CN"/>
        </w:rPr>
        <w:t>进行处罚；</w:t>
      </w:r>
      <w:r>
        <w:rPr>
          <w:rFonts w:hint="eastAsia" w:ascii="仿宋_GB2312" w:hAnsi="仿宋_GB2312" w:eastAsia="仿宋_GB2312"/>
          <w:sz w:val="32"/>
          <w:szCs w:val="32"/>
        </w:rPr>
        <w:t>当事人</w:t>
      </w:r>
      <w:r>
        <w:rPr>
          <w:rFonts w:hint="eastAsia" w:ascii="仿宋_GB2312" w:hAnsi="仿宋_GB2312" w:eastAsia="仿宋_GB2312"/>
          <w:sz w:val="32"/>
          <w:szCs w:val="32"/>
          <w:lang w:val="en-US" w:eastAsia="zh-CN"/>
        </w:rPr>
        <w:t>王XX</w:t>
      </w:r>
      <w:r>
        <w:rPr>
          <w:rFonts w:hint="eastAsia" w:ascii="仿宋_GB2312" w:hAnsi="仿宋_GB2312" w:eastAsia="仿宋_GB2312"/>
          <w:sz w:val="32"/>
          <w:szCs w:val="32"/>
        </w:rPr>
        <w:t>跨省输入生猪未经指定通道进入</w:t>
      </w:r>
      <w:r>
        <w:rPr>
          <w:rFonts w:hint="eastAsia" w:ascii="仿宋_GB2312" w:hAnsi="仿宋_GB2312" w:eastAsia="仿宋_GB2312"/>
          <w:sz w:val="32"/>
          <w:szCs w:val="32"/>
          <w:lang w:val="en-US" w:eastAsia="zh-CN"/>
        </w:rPr>
        <w:t>的行为</w:t>
      </w:r>
      <w:r>
        <w:rPr>
          <w:rFonts w:hint="eastAsia" w:ascii="仿宋_GB2312" w:hAnsi="仿宋_GB2312" w:eastAsia="仿宋_GB2312"/>
          <w:sz w:val="32"/>
          <w:szCs w:val="32"/>
        </w:rPr>
        <w:t>依照《中华人民共和国动物防疫法》第八十条“违反本法规定，有下列行为之一的，由动物卫生监督机构责令改正，处一千元以上一万元以下罚款：（一）不遵守县级以上人民政府及其兽医主管部门依法作出的有关控制</w:t>
      </w:r>
      <w:r>
        <w:rPr>
          <w:rFonts w:hint="eastAsia" w:ascii="仿宋_GB2312" w:hAnsi="仿宋_GB2312" w:eastAsia="仿宋_GB2312"/>
          <w:kern w:val="0"/>
          <w:sz w:val="32"/>
          <w:szCs w:val="32"/>
        </w:rPr>
        <w:t>、扑灭动物疫病规定的；”</w:t>
      </w:r>
      <w:r>
        <w:rPr>
          <w:rFonts w:hint="eastAsia" w:ascii="仿宋_GB2312" w:hAnsi="仿宋_GB2312" w:eastAsia="仿宋_GB2312"/>
          <w:kern w:val="0"/>
          <w:sz w:val="32"/>
          <w:szCs w:val="32"/>
          <w:lang w:eastAsia="zh-CN"/>
        </w:rPr>
        <w:t>，</w:t>
      </w:r>
      <w:r>
        <w:rPr>
          <w:rFonts w:hint="eastAsia" w:ascii="仿宋_GB2312" w:hAnsi="仿宋_GB2312" w:eastAsia="仿宋_GB2312"/>
          <w:sz w:val="32"/>
          <w:szCs w:val="32"/>
        </w:rPr>
        <w:t>参照《湖南</w:t>
      </w:r>
      <w:r>
        <w:rPr>
          <w:rFonts w:hint="eastAsia" w:ascii="仿宋_GB2312" w:hAnsi="仿宋_GB2312" w:eastAsia="仿宋_GB2312" w:cstheme="minorBidi"/>
          <w:kern w:val="2"/>
          <w:sz w:val="32"/>
          <w:szCs w:val="32"/>
        </w:rPr>
        <w:t>省农业</w:t>
      </w:r>
      <w:r>
        <w:rPr>
          <w:rFonts w:hint="eastAsia" w:ascii="仿宋_GB2312" w:hAnsi="仿宋_GB2312" w:eastAsia="仿宋_GB2312" w:cstheme="minorBidi"/>
          <w:kern w:val="2"/>
          <w:sz w:val="32"/>
          <w:szCs w:val="32"/>
          <w:lang w:val="en-US" w:eastAsia="zh-CN"/>
        </w:rPr>
        <w:t>行政</w:t>
      </w:r>
      <w:r>
        <w:rPr>
          <w:rFonts w:hint="eastAsia" w:ascii="仿宋_GB2312" w:hAnsi="仿宋_GB2312" w:eastAsia="仿宋_GB2312" w:cstheme="minorBidi"/>
          <w:kern w:val="2"/>
          <w:sz w:val="32"/>
          <w:szCs w:val="32"/>
        </w:rPr>
        <w:t>处罚自由裁量权</w:t>
      </w:r>
      <w:r>
        <w:rPr>
          <w:rFonts w:hint="eastAsia" w:ascii="仿宋_GB2312" w:hAnsi="仿宋_GB2312" w:eastAsia="仿宋_GB2312" w:cstheme="minorBidi"/>
          <w:kern w:val="2"/>
          <w:sz w:val="32"/>
          <w:szCs w:val="32"/>
          <w:lang w:val="en-US" w:eastAsia="zh-CN"/>
        </w:rPr>
        <w:t>基准</w:t>
      </w:r>
      <w:r>
        <w:rPr>
          <w:rFonts w:hint="eastAsia" w:ascii="仿宋_GB2312" w:hAnsi="仿宋_GB2312" w:eastAsia="仿宋_GB2312"/>
          <w:kern w:val="0"/>
          <w:sz w:val="32"/>
          <w:szCs w:val="32"/>
        </w:rPr>
        <w:t>》第一百零五条：“2、违法行为发生在疫情流行时、疫区的，处3000元以上5000元以下罚款。”</w:t>
      </w:r>
      <w:r>
        <w:rPr>
          <w:rFonts w:hint="eastAsia" w:ascii="仿宋_GB2312" w:hAnsi="仿宋_GB2312" w:eastAsia="仿宋_GB2312"/>
          <w:kern w:val="0"/>
          <w:sz w:val="32"/>
          <w:szCs w:val="32"/>
          <w:lang w:val="en-US" w:eastAsia="zh-CN"/>
        </w:rPr>
        <w:t>进行处罚，</w:t>
      </w:r>
      <w:r>
        <w:rPr>
          <w:rFonts w:hint="eastAsia" w:ascii="仿宋_GB2312" w:hAnsi="仿宋_GB2312" w:eastAsia="仿宋_GB2312"/>
          <w:sz w:val="32"/>
          <w:szCs w:val="32"/>
        </w:rPr>
        <w:t>鉴于当事人积极配合调查，如实提供生猪来源等信息，未造成社会影响，</w:t>
      </w:r>
      <w:r>
        <w:rPr>
          <w:rFonts w:hint="eastAsia" w:ascii="仿宋_GB2312" w:hAnsi="仿宋_GB2312" w:eastAsia="仿宋_GB2312"/>
          <w:sz w:val="32"/>
          <w:szCs w:val="32"/>
          <w:lang w:val="en-US" w:eastAsia="zh-CN"/>
        </w:rPr>
        <w:t>但</w:t>
      </w:r>
      <w:r>
        <w:rPr>
          <w:rFonts w:hint="eastAsia" w:ascii="仿宋_GB2312" w:hAnsi="仿宋_GB2312" w:eastAsia="仿宋_GB2312"/>
          <w:kern w:val="0"/>
          <w:sz w:val="32"/>
          <w:szCs w:val="32"/>
          <w:lang w:val="en-US" w:eastAsia="zh-CN"/>
        </w:rPr>
        <w:t>目前处于非洲猪瘟疫情流行时，</w:t>
      </w:r>
      <w:r>
        <w:rPr>
          <w:rFonts w:hint="eastAsia" w:ascii="仿宋_GB2312" w:hAnsi="仿宋_GB2312" w:eastAsia="仿宋_GB2312"/>
          <w:sz w:val="32"/>
          <w:szCs w:val="32"/>
        </w:rPr>
        <w:t>综上所述，对此案作出如下处罚决定：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80" w:lineRule="exact"/>
        <w:ind w:right="0" w:firstLine="640" w:firstLineChars="200"/>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kern w:val="0"/>
          <w:sz w:val="32"/>
          <w:szCs w:val="32"/>
          <w:lang w:val="en-US" w:eastAsia="zh-CN"/>
        </w:rPr>
        <w:t>一、</w:t>
      </w:r>
      <w:r>
        <w:rPr>
          <w:rFonts w:hint="eastAsia" w:ascii="仿宋_GB2312" w:hAnsi="仿宋_GB2312" w:eastAsia="仿宋_GB2312"/>
          <w:sz w:val="32"/>
          <w:szCs w:val="32"/>
          <w:lang w:val="en-US" w:eastAsia="zh-CN"/>
        </w:rPr>
        <w:t>跨省引进种用生猪未办理审批手续，罚款5000元；</w:t>
      </w:r>
    </w:p>
    <w:p>
      <w:pPr>
        <w:keepNext w:val="0"/>
        <w:keepLines w:val="0"/>
        <w:pageBreakBefore w:val="0"/>
        <w:numPr>
          <w:ilvl w:val="0"/>
          <w:numId w:val="0"/>
        </w:numPr>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跨省输入生猪未经指定通道进入</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罚款5000元。</w:t>
      </w:r>
    </w:p>
    <w:p>
      <w:pPr>
        <w:spacing w:line="590" w:lineRule="exact"/>
        <w:ind w:firstLine="640"/>
        <w:rPr>
          <w:rFonts w:ascii="仿宋_GB2312" w:hAnsi="仿宋_GB2312" w:eastAsia="仿宋_GB2312"/>
          <w:sz w:val="32"/>
          <w:szCs w:val="32"/>
        </w:rPr>
      </w:pPr>
      <w:r>
        <w:rPr>
          <w:rFonts w:hint="eastAsia" w:ascii="仿宋_GB2312" w:hAnsi="仿宋_GB2312" w:eastAsia="仿宋_GB2312"/>
          <w:sz w:val="32"/>
          <w:szCs w:val="32"/>
        </w:rPr>
        <w:t>当事人必须在收到本处罚决定书之日起15日内持本决定书到桃江县建设银行缴纳罚款。逾期不按规定缴纳罚款的，每日按罚款数额的3%加处罚款。</w:t>
      </w:r>
    </w:p>
    <w:p>
      <w:pPr>
        <w:spacing w:line="590" w:lineRule="exact"/>
        <w:ind w:firstLine="640"/>
        <w:rPr>
          <w:rFonts w:ascii="仿宋_GB2312" w:hAnsi="仿宋_GB2312" w:eastAsia="仿宋_GB2312"/>
          <w:sz w:val="32"/>
          <w:szCs w:val="32"/>
        </w:rPr>
      </w:pPr>
      <w:r>
        <w:rPr>
          <w:rFonts w:hint="eastAsia" w:ascii="仿宋_GB2312" w:hAnsi="仿宋_GB2312" w:eastAsia="仿宋_GB2312"/>
          <w:sz w:val="32"/>
          <w:szCs w:val="32"/>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pPr>
        <w:spacing w:line="590" w:lineRule="exact"/>
        <w:ind w:firstLine="640"/>
        <w:rPr>
          <w:rFonts w:ascii="仿宋_GB2312" w:hAnsi="仿宋_GB2312" w:eastAsia="仿宋_GB2312"/>
          <w:sz w:val="32"/>
          <w:szCs w:val="32"/>
        </w:rPr>
      </w:pPr>
      <w:r>
        <w:rPr>
          <w:rFonts w:hint="eastAsia" w:ascii="仿宋_GB2312" w:hAnsi="仿宋_GB2312" w:eastAsia="仿宋_GB2312"/>
          <w:sz w:val="32"/>
          <w:szCs w:val="32"/>
        </w:rPr>
        <w:t>当事人逾期不申请行政复议或提起行政诉讼，也不履行本行政处罚决定的，本机关将依法申请人民法院强制执行。</w:t>
      </w:r>
    </w:p>
    <w:p>
      <w:pPr>
        <w:spacing w:line="590" w:lineRule="exact"/>
        <w:rPr>
          <w:rFonts w:ascii="仿宋_GB2312" w:hAnsi="仿宋_GB2312" w:eastAsia="仿宋_GB2312"/>
          <w:sz w:val="32"/>
          <w:szCs w:val="32"/>
        </w:rPr>
      </w:pPr>
    </w:p>
    <w:p>
      <w:pPr>
        <w:spacing w:line="590" w:lineRule="exact"/>
        <w:ind w:firstLine="640"/>
        <w:rPr>
          <w:rFonts w:ascii="仿宋_GB2312" w:hAnsi="仿宋_GB2312" w:eastAsia="仿宋_GB2312"/>
          <w:sz w:val="32"/>
          <w:szCs w:val="32"/>
        </w:rPr>
      </w:pPr>
    </w:p>
    <w:p>
      <w:pPr>
        <w:spacing w:line="590" w:lineRule="exact"/>
        <w:rPr>
          <w:rFonts w:ascii="仿宋_GB2312" w:hAnsi="仿宋_GB2312" w:eastAsia="仿宋_GB2312"/>
          <w:sz w:val="32"/>
          <w:szCs w:val="32"/>
        </w:rPr>
      </w:pPr>
    </w:p>
    <w:p>
      <w:pPr>
        <w:spacing w:line="590" w:lineRule="exact"/>
        <w:ind w:firstLine="640"/>
        <w:rPr>
          <w:rFonts w:ascii="仿宋_GB2312" w:hAnsi="仿宋_GB2312" w:eastAsia="仿宋_GB2312"/>
          <w:sz w:val="32"/>
          <w:szCs w:val="32"/>
        </w:rPr>
      </w:pPr>
    </w:p>
    <w:p>
      <w:pPr>
        <w:spacing w:line="590" w:lineRule="exact"/>
        <w:ind w:firstLine="640"/>
        <w:rPr>
          <w:rFonts w:ascii="仿宋_GB2312" w:hAnsi="仿宋_GB2312" w:eastAsia="仿宋_GB2312"/>
          <w:sz w:val="32"/>
          <w:szCs w:val="32"/>
        </w:rPr>
      </w:pPr>
    </w:p>
    <w:p>
      <w:pPr>
        <w:spacing w:line="59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                          桃江县农业农村局</w:t>
      </w:r>
    </w:p>
    <w:p>
      <w:pPr>
        <w:spacing w:line="590" w:lineRule="exact"/>
        <w:ind w:right="640" w:firstLine="4800" w:firstLineChars="1500"/>
        <w:rPr>
          <w:sz w:val="36"/>
          <w:szCs w:val="36"/>
        </w:rPr>
      </w:pPr>
      <w:r>
        <w:rPr>
          <w:rFonts w:hint="eastAsia" w:ascii="仿宋_GB2312" w:hAnsi="仿宋_GB2312" w:eastAsia="仿宋_GB2312"/>
          <w:sz w:val="32"/>
          <w:szCs w:val="32"/>
        </w:rPr>
        <w:t>2021年4月</w:t>
      </w:r>
      <w:r>
        <w:rPr>
          <w:rFonts w:hint="eastAsia" w:ascii="仿宋_GB2312" w:hAnsi="仿宋_GB2312" w:eastAsia="仿宋_GB2312"/>
          <w:sz w:val="32"/>
          <w:szCs w:val="32"/>
          <w:lang w:val="en-US" w:eastAsia="zh-CN"/>
        </w:rPr>
        <w:t>22</w:t>
      </w:r>
      <w:r>
        <w:rPr>
          <w:rFonts w:hint="eastAsia" w:ascii="仿宋_GB2312" w:hAnsi="仿宋_GB2312"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mp;quot">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D479C"/>
    <w:rsid w:val="581D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paragraph" w:styleId="3">
    <w:name w:val="heading 2"/>
    <w:basedOn w:val="2"/>
    <w:next w:val="1"/>
    <w:qFormat/>
    <w:uiPriority w:val="0"/>
    <w:pPr>
      <w:outlineLvl w:val="1"/>
    </w:p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2021-12-13T06:48:00Z</dcterms:created>
  <dc:creator>邹成</dc:creator>
  <cp:lastModifiedBy>邹成</cp:lastModifiedBy>
  <dcterms:modified xsi:type="dcterms:W3CDTF">2021-12-13T06:51:41Z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A8792BA57752495D8A0AD17E64FDCF0C</vt:lpwstr>
  </property>
</Properties>
</file>