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default" w:eastAsia="华文中宋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桃江县农业农村局</w:t>
      </w:r>
    </w:p>
    <w:p>
      <w:pPr>
        <w:pStyle w:val="2"/>
        <w:rPr>
          <w:rFonts w:hint="eastAsia"/>
          <w:sz w:val="36"/>
          <w:szCs w:val="36"/>
        </w:rPr>
      </w:pPr>
      <w:bookmarkStart w:id="0" w:name="_Toc29744267"/>
      <w:bookmarkStart w:id="1" w:name="_Toc48815577"/>
      <w:r>
        <w:rPr>
          <w:rFonts w:hint="eastAsia"/>
          <w:sz w:val="36"/>
          <w:szCs w:val="36"/>
        </w:rPr>
        <w:t>行政处罚决定书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桃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bidi="ar"/>
        </w:rPr>
        <w:t>农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（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动监</w:t>
      </w:r>
      <w:r>
        <w:rPr>
          <w:rFonts w:hint="eastAsia" w:ascii="宋体" w:hAnsi="宋体" w:cs="宋体"/>
          <w:kern w:val="0"/>
          <w:sz w:val="32"/>
          <w:szCs w:val="32"/>
          <w:u w:val="single"/>
          <w:shd w:val="clear" w:color="auto" w:fill="FFFFFF"/>
          <w:lang w:eastAsia="zh-CN" w:bidi="ar"/>
        </w:rPr>
        <w:t>）</w:t>
      </w:r>
      <w:r>
        <w:rPr>
          <w:rFonts w:hint="eastAsia" w:ascii="宋体" w:hAnsi="宋体" w:cs="宋体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罚</w:t>
      </w:r>
      <w:r>
        <w:rPr>
          <w:rFonts w:hint="eastAsia" w:ascii="仿宋_GB2312" w:hAnsi="仿宋_GB2312" w:eastAsia="仿宋_GB2312" w:cs="宋体-18030"/>
          <w:sz w:val="32"/>
          <w:szCs w:val="32"/>
        </w:rPr>
        <w:t>〔</w:t>
      </w:r>
      <w:r>
        <w:rPr>
          <w:rFonts w:hint="eastAsia" w:ascii="仿宋_GB2312" w:hAnsi="仿宋_GB2312" w:eastAsia="仿宋_GB2312" w:cs="宋体-18030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宋体-18030"/>
          <w:sz w:val="32"/>
          <w:szCs w:val="32"/>
        </w:rPr>
        <w:t>〕</w:t>
      </w:r>
      <w:r>
        <w:rPr>
          <w:rFonts w:hint="eastAsia" w:ascii="宋体" w:hAnsi="宋体" w:eastAsia="仿宋_GB2312" w:cs="宋体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>86</w:t>
      </w:r>
      <w:r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baseline"/>
        <w:rPr>
          <w:rFonts w:hint="eastAsia" w:ascii="宋体" w:hAnsi="宋体" w:cs="宋体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刘XX 性别：男  民族：汉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出生日期：19XX年XX月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身份证号码：22038119XXXXXXXXXX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住址：吉林省公主岭市XX镇XX村XX组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当事人</w:t>
      </w:r>
      <w:bookmarkStart w:id="2" w:name="_GoBack"/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刘XX装载生猪卸载后未及时清理、消毒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一案</w:t>
      </w:r>
      <w:bookmarkEnd w:id="2"/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，经本机关于2021年11月17日立案依法调查，现查明：2021年11月17日，桃江县农业综合行政执法大队执法人员在桃江县XX镇XX路检查，17时左右，发现装载生猪三层货车吉AVXXXX上草料、生猪排泄物未及时处理，经询问当事人刘XX，该货车为李XX（1854340XXXX）所有，实际具体违法行为人为当事人刘XX，该货车将生猪在娄底市双峰县三塘铺镇卸载后未及时将货车上草料、生猪排泄物及时清理、消毒。车辆吉AVXXXX已进行生猪运输车辆备案，备案号220106XXXX。当事人将生猪卸载后去石门装物流配货时经过桃江县XX镇，因车辆未及时清理、消毒，被执法人员当场查获。11月17日19时，经当事人联系洗消中心，及时对车辆清洗、消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一、桃农（动监）证据〔2021〕86号D1，证明当事人身份信息；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二、桃农（动监）证据〔2021〕86号D2，证明装载生猪车辆为及时清洗、消毒的违法事实；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三、桃农（动监）证据〔2021〕86号D3，证明对装载生猪车辆清洗、消毒；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四、桃农（动监）证据〔2021〕86号D3，证明生猪装载车辆吉AVXXXX备案情况；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五、现场检查（勘验）笔录，证明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车辆吉AVXXXX装生猪卸载后未及时清洗、消毒的事实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本机关认为：当事人</w:t>
      </w:r>
      <w:r>
        <w:rPr>
          <w:rFonts w:hint="eastAsia" w:ascii="仿宋_GB2312" w:hAnsi="仿宋_GB2312" w:eastAsia="仿宋_GB2312"/>
          <w:spacing w:val="-4"/>
          <w:sz w:val="32"/>
          <w:szCs w:val="32"/>
          <w:lang w:val="en-US" w:eastAsia="zh-CN"/>
        </w:rPr>
        <w:t>刘XX装载生猪卸载后未及时清理、消毒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的行为违反了《中华人民共和国动物防疫法》第五十二条第四款：“运载工具在装载前和卸载后应当及时清理消毒。”之规定。桃江县农业农村局于2021年11月18日下达了《行政处罚事先告知书》（桃农（动监）告〔2021〕86号），于2021年11月18日在桃江县桃花江镇文化路41号桃江县农业综合行政执法大队办公室直接送达当事人刘XX处理该案委托人夏XX，并告知当事人有陈述申辩和申请听证的权力。当事人刘XX在法定期限内未进行陈述申辩和申请听证，视为放弃上述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根据《中华人民共和国动物防疫法》第九十二条第四项：“违反本法规定，有下列行为之一的，由县级以上地方人民政府农业农村主管部门责令限期改正，可以处一千元以下罚款；逾期不改正的，处一千元以上五千元以下罚款，由县级以上地方人民政府农业农村主管部门委托动物诊疗机构、无害化处理场所等代为处理，所需费用由违法行为人承担：（四）动物、动物产品的运载工具在装载前和卸载后未按照规定及时清洗、消毒的。”，参照《湖南省农业行政处罚自由裁量基准（动物卫生监督）》“序号：1；违法情节：初次发生违法行为；裁量标准：责令限期改正，可以处一千元以下罚款”的规定，鉴于现处于生猪非洲猪瘟防控期，但当事人刘XX积极整改，对此案作出如下处罚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罚款人民币1000元。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当事人必须在收到本处罚决定书之日起15日内持本决定书到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桃江县建设银行</w:t>
      </w:r>
      <w:r>
        <w:rPr>
          <w:rFonts w:hint="eastAsia" w:ascii="仿宋_GB2312" w:hAnsi="仿宋_GB2312" w:eastAsia="仿宋_GB2312"/>
          <w:sz w:val="32"/>
          <w:szCs w:val="32"/>
        </w:rPr>
        <w:t>缴纳罚款。逾期不按规定缴纳罚款的，每日按罚款数额的3%加处罚款。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当事人对本处罚决定不服的，可以在收到本处罚决定书之日起六十日内向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桃江县</w:t>
      </w:r>
      <w:r>
        <w:rPr>
          <w:rFonts w:hint="eastAsia" w:ascii="仿宋_GB2312" w:hAnsi="仿宋_GB2312" w:eastAsia="仿宋_GB2312"/>
          <w:sz w:val="32"/>
          <w:szCs w:val="32"/>
        </w:rPr>
        <w:t>人民政府申请行政复议；或者六个月内向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沅江市人民法院或桃江县</w:t>
      </w:r>
      <w:r>
        <w:rPr>
          <w:rFonts w:hint="eastAsia" w:ascii="仿宋_GB2312" w:hAnsi="仿宋_GB2312" w:eastAsia="仿宋_GB2312"/>
          <w:sz w:val="32"/>
          <w:szCs w:val="32"/>
        </w:rPr>
        <w:t>人民法院提起行政诉讼。行政复议和行政诉讼期间，本处罚决定不停止执行。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当事人逾期不申请行政复议或提起行政诉讼，也不履行本行政处罚决定的，本机关将依法申请人民法院强制执行。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桃江县农业农村局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549E4"/>
    <w:rsid w:val="2B7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hd w:val="clear" w:color="auto" w:fill="FFFFFF"/>
      <w:jc w:val="center"/>
      <w:textAlignment w:val="baseline"/>
      <w:outlineLvl w:val="0"/>
    </w:pPr>
    <w:rPr>
      <w:rFonts w:ascii="宋体" w:hAnsi="宋体" w:eastAsia="华文中宋"/>
      <w:b/>
      <w:kern w:val="0"/>
      <w:sz w:val="44"/>
      <w:szCs w:val="44"/>
      <w:shd w:val="clear" w:color="auto" w:fill="FFFFFF"/>
    </w:rPr>
  </w:style>
  <w:style w:type="paragraph" w:styleId="3">
    <w:name w:val="heading 2"/>
    <w:basedOn w:val="2"/>
    <w:next w:val="1"/>
    <w:qFormat/>
    <w:uiPriority w:val="0"/>
    <w:pPr>
      <w:outlineLvl w:val="1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2021-12-13T07:52:00Z</dcterms:created>
  <dc:creator>邹成</dc:creator>
  <cp:lastModifiedBy>邹成</cp:lastModifiedBy>
  <dcterms:modified xsi:type="dcterms:W3CDTF">2021-12-13T07:54:58Z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403C92365E004301964FBE1ACCD907BA</vt:lpwstr>
  </property>
</Properties>
</file>