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eastAsia="华文中宋"/>
          <w:sz w:val="36"/>
          <w:szCs w:val="36"/>
          <w:lang w:val="en-US" w:eastAsia="zh-CN"/>
        </w:rPr>
      </w:pPr>
      <w:r>
        <w:rPr>
          <w:rFonts w:hint="eastAsia"/>
          <w:sz w:val="36"/>
          <w:szCs w:val="36"/>
          <w:lang w:val="en-US" w:eastAsia="zh-CN"/>
        </w:rPr>
        <w:t>桃江县农业农村局</w:t>
      </w:r>
    </w:p>
    <w:p>
      <w:pPr>
        <w:pStyle w:val="2"/>
        <w:rPr>
          <w:rFonts w:hint="eastAsia"/>
          <w:sz w:val="36"/>
          <w:szCs w:val="36"/>
        </w:rPr>
      </w:pPr>
      <w:bookmarkStart w:id="0" w:name="_Toc48815577"/>
      <w:bookmarkStart w:id="1" w:name="_Toc29744267"/>
      <w:r>
        <w:rPr>
          <w:rFonts w:hint="eastAsia"/>
          <w:sz w:val="36"/>
          <w:szCs w:val="36"/>
        </w:rPr>
        <w:t>行政处罚决定书</w:t>
      </w:r>
      <w:bookmarkEnd w:id="0"/>
      <w:bookmarkEnd w:id="1"/>
    </w:p>
    <w:p>
      <w:pPr>
        <w:keepNext w:val="0"/>
        <w:keepLines w:val="0"/>
        <w:pageBreakBefore w:val="0"/>
        <w:widowControl/>
        <w:kinsoku/>
        <w:wordWrap/>
        <w:overflowPunct/>
        <w:topLinePunct w:val="0"/>
        <w:autoSpaceDE/>
        <w:autoSpaceDN/>
        <w:bidi w:val="0"/>
        <w:adjustRightInd/>
        <w:snapToGrid/>
        <w:spacing w:line="640" w:lineRule="exact"/>
        <w:jc w:val="center"/>
        <w:textAlignment w:val="baseline"/>
        <w:rPr>
          <w:rFonts w:hint="eastAsia" w:ascii="&amp;quot" w:hAnsi="&amp;quot" w:cs="宋体"/>
          <w:kern w:val="0"/>
          <w:sz w:val="24"/>
        </w:rPr>
      </w:pPr>
      <w:r>
        <w:rPr>
          <w:rFonts w:hint="eastAsia" w:ascii="宋体" w:hAnsi="宋体" w:cs="宋体"/>
          <w:kern w:val="0"/>
          <w:sz w:val="32"/>
          <w:szCs w:val="32"/>
          <w:u w:val="single"/>
          <w:shd w:val="clear" w:color="auto" w:fill="FFFFFF"/>
          <w:lang w:val="en-US" w:eastAsia="zh-CN" w:bidi="ar"/>
        </w:rPr>
        <w:t>桃</w:t>
      </w:r>
      <w:r>
        <w:rPr>
          <w:rFonts w:hint="eastAsia" w:ascii="宋体" w:hAnsi="宋体" w:cs="宋体"/>
          <w:kern w:val="0"/>
          <w:sz w:val="32"/>
          <w:szCs w:val="32"/>
          <w:u w:val="single"/>
          <w:shd w:val="clear" w:color="auto" w:fill="FFFFFF"/>
          <w:lang w:bidi="ar"/>
        </w:rPr>
        <w:t>农</w:t>
      </w:r>
      <w:r>
        <w:rPr>
          <w:rFonts w:hint="eastAsia" w:ascii="宋体" w:hAnsi="宋体" w:cs="宋体"/>
          <w:kern w:val="0"/>
          <w:sz w:val="32"/>
          <w:szCs w:val="32"/>
          <w:u w:val="single"/>
          <w:shd w:val="clear" w:color="auto" w:fill="FFFFFF"/>
          <w:lang w:eastAsia="zh-CN" w:bidi="ar"/>
        </w:rPr>
        <w:t>（</w:t>
      </w:r>
      <w:r>
        <w:rPr>
          <w:rFonts w:hint="eastAsia" w:ascii="宋体" w:hAnsi="宋体" w:cs="宋体"/>
          <w:kern w:val="0"/>
          <w:sz w:val="32"/>
          <w:szCs w:val="32"/>
          <w:u w:val="single"/>
          <w:shd w:val="clear" w:color="auto" w:fill="FFFFFF"/>
          <w:lang w:val="en-US" w:eastAsia="zh-CN" w:bidi="ar"/>
        </w:rPr>
        <w:t>兽药</w:t>
      </w:r>
      <w:r>
        <w:rPr>
          <w:rFonts w:hint="eastAsia" w:ascii="宋体" w:hAnsi="宋体" w:cs="宋体"/>
          <w:kern w:val="0"/>
          <w:sz w:val="32"/>
          <w:szCs w:val="32"/>
          <w:u w:val="single"/>
          <w:shd w:val="clear" w:color="auto" w:fill="FFFFFF"/>
          <w:lang w:eastAsia="zh-CN" w:bidi="ar"/>
        </w:rPr>
        <w:t>）</w:t>
      </w:r>
      <w:r>
        <w:rPr>
          <w:rFonts w:hint="eastAsia" w:ascii="宋体" w:hAnsi="宋体" w:cs="宋体"/>
          <w:kern w:val="0"/>
          <w:sz w:val="32"/>
          <w:szCs w:val="32"/>
          <w:u w:val="none"/>
          <w:shd w:val="clear" w:color="auto" w:fill="FFFFFF"/>
          <w:lang w:val="en-US" w:eastAsia="zh-CN" w:bidi="ar"/>
        </w:rPr>
        <w:t>罚</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lang w:val="en-US" w:eastAsia="zh-CN"/>
        </w:rPr>
        <w:t>2021</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u w:val="single"/>
          <w:lang w:val="en-US" w:eastAsia="zh-CN"/>
        </w:rPr>
        <w:t>68</w:t>
      </w:r>
      <w:r>
        <w:rPr>
          <w:rFonts w:hint="eastAsia" w:ascii="宋体" w:hAnsi="宋体" w:cs="宋体"/>
          <w:kern w:val="0"/>
          <w:sz w:val="32"/>
          <w:szCs w:val="32"/>
          <w:shd w:val="clear" w:color="auto" w:fill="FFFFFF"/>
          <w:lang w:bidi="ar"/>
        </w:rPr>
        <w:t>号</w:t>
      </w:r>
    </w:p>
    <w:p>
      <w:pPr>
        <w:keepNext w:val="0"/>
        <w:keepLines w:val="0"/>
        <w:pageBreakBefore w:val="0"/>
        <w:kinsoku/>
        <w:wordWrap/>
        <w:overflowPunct/>
        <w:topLinePunct w:val="0"/>
        <w:autoSpaceDE/>
        <w:autoSpaceDN/>
        <w:bidi w:val="0"/>
        <w:adjustRightInd/>
        <w:snapToGrid/>
        <w:spacing w:before="156" w:beforeLines="50" w:line="640" w:lineRule="exact"/>
        <w:jc w:val="center"/>
        <w:rPr>
          <w:rFonts w:hint="eastAsia" w:ascii="仿宋_GB2312" w:hAnsi="仿宋_GB2312" w:eastAsia="仿宋_GB2312" w:cs="宋体-1803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当事人：</w:t>
      </w:r>
      <w:r>
        <w:rPr>
          <w:rFonts w:hint="eastAsia" w:ascii="仿宋_GB2312" w:hAnsi="仿宋_GB2312" w:eastAsia="仿宋_GB2312"/>
          <w:sz w:val="32"/>
          <w:szCs w:val="32"/>
          <w:lang w:val="en-US" w:eastAsia="zh-CN"/>
        </w:rPr>
        <w:t xml:space="preserve">王XX 性别：男  民族：汉 </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出生日期：19XX年XX月 </w:t>
      </w:r>
    </w:p>
    <w:p>
      <w:pPr>
        <w:keepNext w:val="0"/>
        <w:keepLines w:val="0"/>
        <w:pageBreakBefore w:val="0"/>
        <w:kinsoku/>
        <w:wordWrap/>
        <w:overflowPunct/>
        <w:topLinePunct w:val="0"/>
        <w:autoSpaceDE/>
        <w:autoSpaceDN/>
        <w:bidi w:val="0"/>
        <w:adjustRightInd/>
        <w:snapToGrid/>
        <w:spacing w:line="640" w:lineRule="exact"/>
        <w:ind w:firstLine="64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身份证号码：43092219XXXXXXXXXX</w:t>
      </w:r>
    </w:p>
    <w:p>
      <w:pPr>
        <w:keepNext w:val="0"/>
        <w:keepLines w:val="0"/>
        <w:pageBreakBefore w:val="0"/>
        <w:kinsoku/>
        <w:wordWrap/>
        <w:overflowPunct/>
        <w:topLinePunct w:val="0"/>
        <w:autoSpaceDE/>
        <w:autoSpaceDN/>
        <w:bidi w:val="0"/>
        <w:adjustRightInd/>
        <w:snapToGrid/>
        <w:spacing w:line="640" w:lineRule="exact"/>
        <w:ind w:firstLine="64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住址：湖南省益阳市桃江县XX镇XX路XX号</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当事人</w:t>
      </w:r>
      <w:bookmarkStart w:id="2" w:name="_GoBack"/>
      <w:r>
        <w:rPr>
          <w:rFonts w:hint="eastAsia" w:ascii="仿宋_GB2312" w:hAnsi="仿宋_GB2312" w:eastAsia="仿宋_GB2312"/>
          <w:sz w:val="32"/>
          <w:szCs w:val="32"/>
          <w:lang w:val="en-US" w:eastAsia="zh-CN"/>
        </w:rPr>
        <w:t>王XX经营假兽药一案</w:t>
      </w:r>
      <w:bookmarkEnd w:id="2"/>
      <w:r>
        <w:rPr>
          <w:rFonts w:hint="eastAsia" w:ascii="仿宋_GB2312" w:hAnsi="仿宋_GB2312" w:eastAsia="仿宋_GB2312"/>
          <w:sz w:val="32"/>
          <w:szCs w:val="32"/>
          <w:lang w:val="en-US" w:eastAsia="zh-CN"/>
        </w:rPr>
        <w:t>，经本机关于2021年8月3日立案依法调查，现查明：2021年7月29日，桃江县农业综合行政执法大队接江西省赣州市赣县区公安局线索移送，当事人王XX涉嫌销售假兽药，经查，</w:t>
      </w:r>
      <w:r>
        <w:rPr>
          <w:rFonts w:hint="eastAsia" w:ascii="仿宋_GB2312" w:hAnsi="仿宋_GB2312" w:eastAsia="仿宋_GB2312"/>
          <w:spacing w:val="-4"/>
          <w:sz w:val="32"/>
          <w:szCs w:val="32"/>
          <w:lang w:val="en-US" w:eastAsia="zh-CN"/>
        </w:rPr>
        <w:t>当事人王XX，2017年在桃江县XX镇XX路XX号，成立桃江县XX店，属个体工商户，具备兽药经营许可证。</w:t>
      </w:r>
      <w:r>
        <w:rPr>
          <w:rFonts w:hint="eastAsia" w:ascii="仿宋_GB2312" w:hAnsi="仿宋_GB2312" w:eastAsia="仿宋_GB2312"/>
          <w:sz w:val="32"/>
          <w:szCs w:val="32"/>
          <w:lang w:val="en-US" w:eastAsia="zh-CN"/>
        </w:rPr>
        <w:t>2019年至2021年期间，当事人王XX在江西黄XX处购入121240元的兽药，其中有97240元的兽药被江西省赣州市农业农村局认定为假兽药。</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在调查期间，当事人王XX向本机关提出情况说明，在江西警方来电说明江西渔明生物科技有限公司部分产品是假兽药后，当事人立即停止使用了该公司所有产品，2020年1月后除自用外，未销售过该公司的产品，当事人无主观刻意违法行为。</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查看黄XX销售记录和当事人王XX销售记录，当事人王XX在2019年在江西黄和文处购入的假兽药有24070元，其中13360元用于销售，盘点过期产品5040元，剩余产品在2020年开始用于当事人自己承包的鱼塘。</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经询问从当事人处购买了鱼药的客户莫XX、肖XX、刘XX，未造成大面积死鱼等经济损失，由于水产市场不好等原因，现莫XX、肖XX、刘XX均未再继续从事水产养殖。</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2021年8月3日，本机关依法查封现存于当事人王XX鱼塘处被认定的假鱼药鱼病宁33件、救鱼神18件、鱼病宁56包（散装）、救鱼神26包（散装），于8月16日解封，解封后已由当事人交益阳市XX废弃物集中处理有限公司集中销毁。</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一、案件移送函，证明案件来源；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赣州市农业农村局关于江西渔明生物科技有限公司生产的精制敌百虫粉等11个涉案产品违法定性的认定意见，赣州市农业农村局关于标称江西渔明生物科技有限公司生产的混杀灵等产品违法定性的认定意见，农业农村部关于加强水产养殖用投入品监管的通知，证明当事人销售的涉案兽药为假兽药；</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三、江西黄XX处进货记录；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四、当事人王XX询问笔录2份12页，证明当事人销售假兽药的事实、金额、去向；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五、刘XX、莫XX、肖XX询问笔录，证明当事人销售鱼药的相关情况；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六、肖XX询问笔录1份4页，证明同当事人王XX一起水产养殖的事实；</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七、王XX销售记录，证明涉嫌销售假兽药的货值；</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八、王XX承包水产养殖水面照片；</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九、王XX、肖XX、刘XX、莫XX、肖XX身份信息；</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十、当事人王XX兽药经营许可证和营业执照照片，证明其经营资质；</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十一、益阳市XX废弃物集中处理有限公司收集凭证及照片；</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十二、现场检查（勘验）笔录。</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机关认为：当事人王XX经营假兽药的行为违反了《兽药管理条例》第二十六条“兽药经营企业购进兽药，应当将兽药产品与产品标签或者说明书、产品质量合格证核对无误。”、第二十七条第三款“禁止兽药经营企业经营人用药品和假、劣兽药。”之规定。桃江县农业农村局于2021年8月6日下达了《行政处罚事先告知书》（桃农（兽药）告〔2021〕68号），于2021年8月6日在桃江县桃花江镇文化路41号桃江县农业综合行政执法大队办公室直接送达当事人王XX，并告知当事人有陈述申辩和申请听证的权力。当事人王XX在法定期限内未进行陈述申辩和申请听证，视为放弃上述权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根据《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参照《湖南省农业行政处罚自由裁量基准（兽药）》“序号：2；违法情节：违法生产兽药或违法经营兽药，货值金额二万元以下的；裁量标准：没收用于违法生产的原料、辅料、包装材料及生产、经营的兽药和违法所得，并处违法生产、经营的兽药货值金额二倍以上三倍以下罚款”的规定，鉴于当事人王XX积极配合调查，如实提供涉案兽药进货、销售等信息，未造成社会影响，对此案作出如下处罚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一、没收违法所得13360元；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二、处经营的兽药货值金额2倍罚款，26720元。</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当事人必须在收到本处罚决定书之日起15日内持本决定书到</w:t>
      </w:r>
      <w:r>
        <w:rPr>
          <w:rFonts w:hint="eastAsia" w:ascii="仿宋_GB2312" w:hAnsi="仿宋_GB2312" w:eastAsia="仿宋_GB2312"/>
          <w:sz w:val="32"/>
          <w:szCs w:val="32"/>
          <w:lang w:val="en-US" w:eastAsia="zh-CN"/>
        </w:rPr>
        <w:t>桃江县建设银行</w:t>
      </w:r>
      <w:r>
        <w:rPr>
          <w:rFonts w:hint="eastAsia" w:ascii="仿宋_GB2312" w:hAnsi="仿宋_GB2312" w:eastAsia="仿宋_GB2312"/>
          <w:sz w:val="32"/>
          <w:szCs w:val="32"/>
        </w:rPr>
        <w:t>缴纳罚款。逾期不按规定缴纳罚款的，每日按罚款数额的3%加处罚款。</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当事人对本处罚决定不服的，可以在收到本处罚决定书之日起六十日内向</w:t>
      </w:r>
      <w:r>
        <w:rPr>
          <w:rFonts w:hint="eastAsia" w:ascii="仿宋_GB2312" w:hAnsi="仿宋_GB2312" w:eastAsia="仿宋_GB2312"/>
          <w:sz w:val="32"/>
          <w:szCs w:val="32"/>
          <w:lang w:val="en-US" w:eastAsia="zh-CN"/>
        </w:rPr>
        <w:t>桃江县</w:t>
      </w:r>
      <w:r>
        <w:rPr>
          <w:rFonts w:hint="eastAsia" w:ascii="仿宋_GB2312" w:hAnsi="仿宋_GB2312" w:eastAsia="仿宋_GB2312"/>
          <w:sz w:val="32"/>
          <w:szCs w:val="32"/>
        </w:rPr>
        <w:t>人民政府或</w:t>
      </w:r>
      <w:r>
        <w:rPr>
          <w:rFonts w:hint="eastAsia" w:ascii="仿宋_GB2312" w:hAnsi="仿宋_GB2312" w:eastAsia="仿宋_GB2312"/>
          <w:sz w:val="32"/>
          <w:szCs w:val="32"/>
          <w:lang w:val="en-US" w:eastAsia="zh-CN"/>
        </w:rPr>
        <w:t>益阳市农业农村局</w:t>
      </w:r>
      <w:r>
        <w:rPr>
          <w:rFonts w:hint="eastAsia" w:ascii="仿宋_GB2312" w:hAnsi="仿宋_GB2312" w:eastAsia="仿宋_GB2312"/>
          <w:sz w:val="32"/>
          <w:szCs w:val="32"/>
        </w:rPr>
        <w:t>申请行政复议；或者六个月内向</w:t>
      </w:r>
      <w:r>
        <w:rPr>
          <w:rFonts w:hint="eastAsia" w:ascii="仿宋_GB2312" w:hAnsi="仿宋_GB2312" w:eastAsia="仿宋_GB2312"/>
          <w:sz w:val="32"/>
          <w:szCs w:val="32"/>
          <w:lang w:val="en-US" w:eastAsia="zh-CN"/>
        </w:rPr>
        <w:t>沅江市人民法院或桃江县</w:t>
      </w:r>
      <w:r>
        <w:rPr>
          <w:rFonts w:hint="eastAsia" w:ascii="仿宋_GB2312" w:hAnsi="仿宋_GB2312" w:eastAsia="仿宋_GB2312"/>
          <w:sz w:val="32"/>
          <w:szCs w:val="32"/>
        </w:rPr>
        <w:t>人民法院提起行政诉讼。行政复议和行政诉讼期间，本处罚决定不停止执行。</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sz w:val="32"/>
          <w:szCs w:val="32"/>
        </w:rPr>
      </w:pPr>
      <w:r>
        <w:rPr>
          <w:rFonts w:hint="eastAsia" w:ascii="仿宋_GB2312" w:hAnsi="仿宋_GB2312" w:eastAsia="仿宋_GB2312"/>
          <w:sz w:val="32"/>
          <w:szCs w:val="32"/>
        </w:rPr>
        <w:t>当事人逾期不申请行政复议或提起行政诉讼，也不履行本行政处罚决定的，本机关将依法申请人民法院强制执行。</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桃江县农业农村局</w:t>
      </w:r>
    </w:p>
    <w:p>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hint="eastAsia"/>
          <w:sz w:val="36"/>
          <w:szCs w:val="36"/>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2021</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16</w:t>
      </w:r>
      <w:r>
        <w:rPr>
          <w:rFonts w:hint="eastAsia" w:ascii="仿宋_GB2312" w:hAnsi="仿宋_GB2312"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27AB4"/>
    <w:rsid w:val="0472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2021-12-13T07:34:00Z</dcterms:created>
  <dc:creator>邹成</dc:creator>
  <cp:lastModifiedBy>邹成</cp:lastModifiedBy>
  <dcterms:modified xsi:type="dcterms:W3CDTF">2021-12-13T07:38:05Z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A5423518C4974A168421D38C8E8D2DCB</vt:lpwstr>
  </property>
</Properties>
</file>