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94" w:lineRule="exact"/>
        <w:ind w:right="0"/>
        <w:jc w:val="center"/>
        <w:rPr>
          <w:rFonts w:hint="eastAsia" w:ascii="方正小标宋简体" w:hAnsi="方正小标宋简体" w:eastAsia="方正小标宋简体" w:cs="方正小标宋简体"/>
          <w:kern w:val="2"/>
          <w:sz w:val="44"/>
          <w:szCs w:val="44"/>
          <w:lang w:val="en-US" w:eastAsia="zh-CN" w:bidi="ar"/>
        </w:rPr>
      </w:pPr>
      <w:bookmarkStart w:id="0" w:name="_GoBack"/>
      <w:bookmarkEnd w:id="0"/>
      <w:r>
        <w:rPr>
          <w:rFonts w:hint="eastAsia" w:ascii="方正小标宋简体" w:hAnsi="方正小标宋简体" w:eastAsia="方正小标宋简体" w:cs="方正小标宋简体"/>
          <w:kern w:val="2"/>
          <w:sz w:val="44"/>
          <w:szCs w:val="44"/>
          <w:lang w:val="en-US" w:eastAsia="zh-CN" w:bidi="ar"/>
        </w:rPr>
        <w:t>桃江县住房保障服务中心部门整体支出绩效评价</w:t>
      </w:r>
    </w:p>
    <w:p>
      <w:pPr>
        <w:keepNext w:val="0"/>
        <w:keepLines w:val="0"/>
        <w:widowControl/>
        <w:suppressLineNumbers w:val="0"/>
        <w:spacing w:before="0" w:beforeAutospacing="0" w:after="0" w:afterAutospacing="0" w:line="594" w:lineRule="exact"/>
        <w:ind w:left="0" w:right="0" w:firstLine="640" w:firstLineChars="200"/>
        <w:jc w:val="left"/>
        <w:rPr>
          <w:rFonts w:hint="eastAsia" w:ascii="仿宋_GB2312" w:hAnsi="仿宋_GB2312" w:eastAsia="仿宋_GB2312" w:cs="仿宋_GB2312"/>
          <w:kern w:val="2"/>
          <w:sz w:val="32"/>
          <w:szCs w:val="32"/>
          <w:lang w:val="en-US" w:eastAsia="zh-CN" w:bidi="ar"/>
        </w:rPr>
      </w:pPr>
    </w:p>
    <w:p>
      <w:pPr>
        <w:keepNext w:val="0"/>
        <w:keepLines w:val="0"/>
        <w:widowControl/>
        <w:suppressLineNumbers w:val="0"/>
        <w:spacing w:before="0" w:beforeAutospacing="0" w:after="0" w:afterAutospacing="0" w:line="594"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为认真贯彻落实十九大报告精神，强化财政支出绩效理念和部门责任意识，规范财政资金管理，提高财政资金使用效益，根据《桃江县财政局关于开展2019年度财政资金绩效自评工作的通知》（桃财绩[2020]11号）文件的要求，我中心对2019年度财政性资金整体使用情况进行了绩效自评，现将有关情况报告如下：</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一、部门概况</w:t>
      </w:r>
    </w:p>
    <w:p>
      <w:pPr>
        <w:pStyle w:val="2"/>
        <w:keepNext w:val="0"/>
        <w:keepLines w:val="0"/>
        <w:widowControl/>
        <w:suppressLineNumbers w:val="0"/>
        <w:spacing w:before="0" w:beforeAutospacing="0" w:after="0" w:afterAutospacing="0" w:line="33" w:lineRule="atLeast"/>
        <w:ind w:left="0" w:right="0" w:firstLine="42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333333"/>
          <w:sz w:val="32"/>
          <w:szCs w:val="32"/>
        </w:rPr>
        <w:t>（一）部门基本情况</w:t>
      </w:r>
    </w:p>
    <w:p>
      <w:pPr>
        <w:keepNext w:val="0"/>
        <w:keepLines w:val="0"/>
        <w:widowControl/>
        <w:suppressLineNumbers w:val="0"/>
        <w:spacing w:before="0" w:beforeAutospacing="0" w:after="0" w:afterAutospacing="0" w:line="594" w:lineRule="exact"/>
        <w:ind w:left="0" w:right="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1．主要职能。</w:t>
      </w:r>
    </w:p>
    <w:p>
      <w:pPr>
        <w:keepNext w:val="0"/>
        <w:keepLines w:val="0"/>
        <w:widowControl/>
        <w:suppressLineNumbers w:val="0"/>
        <w:spacing w:before="0" w:beforeAutospacing="0" w:after="0" w:afterAutospacing="0" w:line="594" w:lineRule="exact"/>
        <w:ind w:left="0" w:right="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①贯彻执行住房保障、住房制度改革与房地产管理的方针、政策和法律、法规，根据县城建设总体规划和县域村镇体系规划拟定全县房地产业政策、行业发展规划和年度计划并组织实施，负责房地产行业管理。</w:t>
      </w:r>
    </w:p>
    <w:p>
      <w:pPr>
        <w:keepNext w:val="0"/>
        <w:keepLines w:val="0"/>
        <w:widowControl/>
        <w:suppressLineNumbers w:val="0"/>
        <w:spacing w:before="0" w:beforeAutospacing="0" w:after="0" w:afterAutospacing="0" w:line="594" w:lineRule="exact"/>
        <w:ind w:left="0" w:right="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②承担规范房地产市场秩序、监督管理房地产市场的责任。会同有关部门组织拟定房地产市场监管政策并监督执行；负责房屋产权产籍和房地产交易市场管理；监督管理房地产估价、房地产中介服务机构的资质及服务行为；监督房地产交易，房产测绘及其成果应用。</w:t>
      </w:r>
    </w:p>
    <w:p>
      <w:pPr>
        <w:tabs>
          <w:tab w:val="left" w:pos="600"/>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③承担城镇低收入家庭住房保障的责任。建立完善多层次的住房保障体系；拟定住房保障相关政策并指导实施，组织拟定全县城镇保障性住房发展规划和年度计划并组织实施，会同</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 xml:space="preserve">关部门做好政府保障性住房资金安排和资金监管；组织廉租住房、公共租赁住房的建设，并对其使用和经营实施监督管理；指导协调和监督城市和国有工矿棚户区改造。                                                                                                                                                                                                  </w:t>
      </w:r>
    </w:p>
    <w:p>
      <w:pPr>
        <w:tabs>
          <w:tab w:val="left" w:pos="600"/>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④承担推进住房制度改革责任。拟定适合县情的住房制度改革政策和方案并组织实施，推进住房制度改革；负责县本级存量住房出售、职工住房补贴和租金改革方案的审核。</w:t>
      </w:r>
    </w:p>
    <w:p>
      <w:pPr>
        <w:tabs>
          <w:tab w:val="left" w:pos="600"/>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⑤负责国有土地上房屋征收与补偿工作，负责城市危险房屋安全鉴定的监督管理；负责白蚁防治工作。                                                                                                     </w:t>
      </w:r>
    </w:p>
    <w:p>
      <w:pPr>
        <w:tabs>
          <w:tab w:val="left" w:pos="600"/>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⑥负责房地产开发活动的监督管理，负责开发项目审核、商品房预（销）售管理；负责住房置业担保的监督管理，规范国有直管公房经营管理行为，指导社会房屋经营管理；负责本行政区域内住</w:t>
      </w:r>
      <w:r>
        <w:rPr>
          <w:rFonts w:hint="eastAsia" w:ascii="仿宋_GB2312" w:hAnsi="仿宋_GB2312" w:eastAsia="仿宋_GB2312" w:cs="仿宋_GB2312"/>
          <w:sz w:val="32"/>
          <w:szCs w:val="32"/>
          <w:lang w:eastAsia="zh-CN"/>
        </w:rPr>
        <w:t>宅</w:t>
      </w:r>
      <w:r>
        <w:rPr>
          <w:rFonts w:hint="eastAsia" w:ascii="仿宋_GB2312" w:hAnsi="仿宋_GB2312" w:eastAsia="仿宋_GB2312" w:cs="仿宋_GB2312"/>
          <w:sz w:val="32"/>
          <w:szCs w:val="32"/>
        </w:rPr>
        <w:t>专项维修资金归集、管理；负责监督管理物业企业的资质和物业管理行为；负责城镇私有房屋（含外籍人员房屋）监督管理；协助处理和落实私房政策遗留问题。</w:t>
      </w:r>
    </w:p>
    <w:p>
      <w:pPr>
        <w:tabs>
          <w:tab w:val="left" w:pos="60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⑦负责房地产信息化和网络建设，房地产信息采集、分析、发布及信息数据库的建设；负责全县房地产业信息的统计；会同有关部门建设房产市场预警预报体系。</w:t>
      </w:r>
    </w:p>
    <w:p>
      <w:pPr>
        <w:tabs>
          <w:tab w:val="left" w:pos="60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⑧负责房产交易与产权管理，对房屋转让、抵押、租赁等交易活动以及房屋面积、价格、产权档案等管理。具体包括：楼盘表管理；新建商品房销售管理，包括商品房预售许可、商品房项目现售备案、购房资格审核与房源信息核验、商品房买卖合同网签备案、存量房（二手房）交易资金监管等；房屋抵押管理；房屋租赁管理；房屋面积管理；房屋价值确认和交易价格评估管理；房屋交易与产权服务窗口建设；政策性房屋产权与上市交易管理；其他房屋交易与产权管理工作等。</w:t>
      </w:r>
    </w:p>
    <w:p>
      <w:pPr>
        <w:tabs>
          <w:tab w:val="left" w:pos="60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⑨承担县人民政府交办的其他事项。</w:t>
      </w:r>
    </w:p>
    <w:p>
      <w:pPr>
        <w:keepNext w:val="0"/>
        <w:keepLines w:val="0"/>
        <w:widowControl/>
        <w:suppressLineNumbers w:val="0"/>
        <w:spacing w:before="0" w:beforeAutospacing="0" w:after="0" w:afterAutospacing="0" w:line="594" w:lineRule="exact"/>
        <w:ind w:left="0" w:right="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2．机构情况</w:t>
      </w:r>
    </w:p>
    <w:p>
      <w:pPr>
        <w:tabs>
          <w:tab w:val="left" w:pos="600"/>
        </w:tabs>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全额拨款事业单位2个：住房保障中心、国有土地上房屋征收与补偿办公室</w:t>
      </w:r>
      <w:r>
        <w:rPr>
          <w:rFonts w:hint="eastAsia" w:ascii="仿宋_GB2312" w:hAnsi="仿宋_GB2312" w:eastAsia="仿宋_GB2312" w:cs="仿宋_GB2312"/>
          <w:sz w:val="32"/>
          <w:szCs w:val="32"/>
          <w:lang w:eastAsia="zh-CN"/>
        </w:rPr>
        <w:t>。</w:t>
      </w:r>
    </w:p>
    <w:p>
      <w:pPr>
        <w:tabs>
          <w:tab w:val="left" w:pos="60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财政补助事业单位9个：桃花江房地产管理所、牛田房地产管理所、武潭房地产管理所、灰山港房地产管理所、大栗港房地产管理所、马迹塘房地产管理所、白蚁防治所、物业管理所、执法大队。 </w:t>
      </w:r>
    </w:p>
    <w:p>
      <w:pPr>
        <w:tabs>
          <w:tab w:val="left" w:pos="60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下设办公室、人事教育股、财务审计股、政策法规股、公房管理股、开发经营管理办公室、政务服务股七个股室。</w:t>
      </w:r>
    </w:p>
    <w:p>
      <w:pPr>
        <w:tabs>
          <w:tab w:val="left" w:pos="600"/>
        </w:tabs>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3．人员情况</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财政补助编制256个，实际在编人数</w:t>
      </w:r>
      <w:r>
        <w:rPr>
          <w:rFonts w:hint="eastAsia" w:ascii="仿宋_GB2312" w:hAnsi="仿宋_GB2312" w:eastAsia="仿宋_GB2312" w:cs="仿宋_GB2312"/>
          <w:sz w:val="32"/>
          <w:szCs w:val="32"/>
          <w:lang w:val="en-US" w:eastAsia="zh-CN"/>
        </w:rPr>
        <w:t>189</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,退休人员78人</w:t>
      </w:r>
      <w:r>
        <w:rPr>
          <w:rFonts w:hint="eastAsia" w:ascii="仿宋_GB2312" w:hAnsi="仿宋_GB2312" w:eastAsia="仿宋_GB2312" w:cs="仿宋_GB2312"/>
          <w:sz w:val="32"/>
          <w:szCs w:val="32"/>
          <w:lang w:eastAsia="zh-CN"/>
        </w:rPr>
        <w:t>。</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（二）部门整体支出规模、使用方向和主要内容、涉及范围等</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2019年部门整体支出5697.84万元，其中：一般公共服务支出788.06万元，城乡社区支出1562.78万元，农林水支出3万元，住房保障支出3344万元。</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二、部门整体支出管理及使用情况</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（一）基本支出</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支出2057.48万元，其中：工资福利支出1714.67万元，一般商品和服务支出287.87万元，个人和家庭的补助54.94万元，主要含基本工资、绩效工资、社会保障缴费等人员经费和办公费、水电费、差旅费、办公设备购置费等机关运行经费、退休费、生活补助等，是为保障单位正常运转、完成日常工作任务而发生的各项支出。</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2019年三公经费预算为5万元，年底决算支出为5万元。其中公务用车运行维护费4万元，公务接待费1万元，因公出国费用0万元。</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（二）项目支出</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1、项目资金安排落实、总投入等情况</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项目支出3640.36万元，财政一般公共预算财政拨款3640.36万元，其中：一般行政管理实务支出296.36万元，棚户区改造支出3117万元，保障性住房租金补贴220万元，其他保障性安居工程支出7万元。</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2、项目资金使用及管理情况</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中心成立了财务管理工作领导小组，制定了一系列的财务管理制度，全部资金已纳入部门预算管理。我中心资金使用一直都按照国家财经法规和财务管理制度的规定收支，资金拨付有完整的审批程序和手续，按照财经制度的有关要求，资金使用无截留、挤占、挪用、虚列支出等情况。办公室全部经费支出都遵循“量入为出、厉行节约”的原则，坚持勤俭节约、勤俭办事的原则，坚持先请示后开支的原则，严格按照程序履行审批手续，确保资金支出的真实性、安全性、合理性。</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三、县本级其他财政性资金实施情况</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本单位2019年度无本级其他财政性资金</w:t>
      </w:r>
      <w:r>
        <w:rPr>
          <w:rFonts w:hint="eastAsia" w:ascii="仿宋_GB2312" w:hAnsi="仿宋_GB2312" w:eastAsia="仿宋_GB2312" w:cs="仿宋_GB2312"/>
          <w:color w:val="333333"/>
          <w:sz w:val="32"/>
          <w:szCs w:val="32"/>
        </w:rPr>
        <w:t>。</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color w:val="333333"/>
          <w:sz w:val="32"/>
          <w:szCs w:val="32"/>
          <w:lang w:eastAsia="zh-CN"/>
        </w:rPr>
        <w:t>四</w:t>
      </w:r>
      <w:r>
        <w:rPr>
          <w:rFonts w:hint="eastAsia" w:ascii="黑体" w:hAnsi="黑体" w:eastAsia="黑体" w:cs="黑体"/>
          <w:b w:val="0"/>
          <w:bCs w:val="0"/>
          <w:color w:val="333333"/>
          <w:sz w:val="32"/>
          <w:szCs w:val="32"/>
        </w:rPr>
        <w:t>、部门整体支出绩效情况</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年来，在县委、县政府的正确领导和精心指导下，我中心坚持以习近平新时代中国特色社会主义思想为指导，紧紧围绕工作重心，凝心聚力，攻坚克难，瞄准群众所思所盼，寻求良策力解难题，切实推动全县保障性住房建设和管理等各项工作行稳致远。主要绩效如下：</w:t>
      </w:r>
    </w:p>
    <w:p>
      <w:pPr>
        <w:keepNext w:val="0"/>
        <w:keepLines w:val="0"/>
        <w:pageBreakBefore w:val="0"/>
        <w:numPr>
          <w:ilvl w:val="0"/>
          <w:numId w:val="0"/>
        </w:numPr>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各项经济指标全面完成。全年完成立项争资完成立项争资8168万元；招商引资1亿元；房地产相关税收代征329万元，为任务数的149%；完成房地产业开发投资13.18亿元以上，商品房销售面积33万平方米以上，年增长5.6%。</w:t>
      </w:r>
    </w:p>
    <w:p>
      <w:pPr>
        <w:keepNext w:val="0"/>
        <w:keepLines w:val="0"/>
        <w:pageBreakBefore w:val="0"/>
        <w:numPr>
          <w:ilvl w:val="0"/>
          <w:numId w:val="0"/>
        </w:numPr>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棚改工作实效显著。2019年是县城棚户区改造项目扎实开展全面落实的一年。竹业城一期（锦绣城）项目，竹业城地块完成土地交付已顺利动工。其他地块完成意向调查、实物量调查等工作，已按部就班开展征拆协议签订工作。老区公所城市棚户区改造项目，已完成征拆协议签订、房屋倒地、场地平整等工作，土地已挂牌出让。竹业城二期原种场片区项目，完成了项目规划审核，签订了投资合同，房屋征收协议签订和房屋拆除倒地工作基本完成，已进入土地成本核算阶段。滨江棚改项目D地块，已完成征收协议签订、土地交付等工作。七一五片区城市棚户区改造项目，已发布招商公告，确定了项目投资主体，项目规划已通过县规划大例会审核，意向调查、实物量调查、征拆方案制订均已完成。畜牧局片区城市棚户区改造项目，已通过规划例会审批并发布招商公告，确定了项目投资主体，现正与投资商洽谈项目投资合同。东城新苑片区城市棚户区改造项目，已完成项目用地报批，红线内土地征收与房屋拆迁及地面上附着物补偿等工作，其中有70户已完成房屋主体竣工，另30户待复迁安置地分配后即可启动建设。桃江县牛潭河垸棚户区改造项目，已完成安置房建设场地五通一平及基础工程施工，现正进行主体工程施工。</w:t>
      </w:r>
    </w:p>
    <w:p>
      <w:pPr>
        <w:keepNext w:val="0"/>
        <w:keepLines w:val="0"/>
        <w:pageBreakBefore w:val="0"/>
        <w:numPr>
          <w:ilvl w:val="0"/>
          <w:numId w:val="0"/>
        </w:numPr>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保障性住房规范管理。年初，我中心新增分配入住任务为300套，截至目前，已分配入住422套，为目标任务的140%。杨家坳、桃谷山保障房小区遗漏项目现已完工。根据《益阳市公租房分配管理专项监督检查工作方案》，结合我县实际，我中心对现有保障对象进行了全面的年度资格审查，经认真比对和现场查勘，共清退不再符合条件的保障对象19户。</w:t>
      </w:r>
    </w:p>
    <w:p>
      <w:pPr>
        <w:keepNext w:val="0"/>
        <w:keepLines w:val="0"/>
        <w:pageBreakBefore w:val="0"/>
        <w:kinsoku/>
        <w:wordWrap/>
        <w:overflowPunct/>
        <w:topLinePunct w:val="0"/>
        <w:autoSpaceDE/>
        <w:autoSpaceDN/>
        <w:bidi w:val="0"/>
        <w:adjustRightInd/>
        <w:snapToGrid/>
        <w:spacing w:line="584" w:lineRule="exact"/>
        <w:ind w:firstLine="627" w:firstLineChars="196"/>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物业管理愈加成熟。一是进一步规范了物业服务行为，明确物业服务企业责任边界，引导物业服务企业增强服务意识，提升服务品质。二是进一步落实了对新建物业项目的物业承接检查制度，指导监督建设单位、业主及物业服务企业依法做好共用部位、设施设备的检查和交接工作，确保了物业服务项目的平稳交接。三是进一步完善物业协会建设功能，组织开办了桃江县第一届物业管理员培训班。四是完善物业服务投诉平台，建立健全了投诉反馈机制，成立了桃江县物业纠纷人民调解委员会，及时解决了广大群众关于物业管理方面的有效诉求。</w:t>
      </w:r>
    </w:p>
    <w:p>
      <w:pPr>
        <w:keepNext w:val="0"/>
        <w:keepLines w:val="0"/>
        <w:pageBreakBefore w:val="0"/>
        <w:kinsoku/>
        <w:wordWrap/>
        <w:overflowPunct/>
        <w:topLinePunct w:val="0"/>
        <w:autoSpaceDE/>
        <w:autoSpaceDN/>
        <w:bidi w:val="0"/>
        <w:adjustRightInd/>
        <w:snapToGrid/>
        <w:spacing w:line="584" w:lineRule="exact"/>
        <w:ind w:firstLine="627" w:firstLineChars="196"/>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5.双创工作任务全面完成。一是加大了对公租房小区的乱搭乱建的整治行动，对几个小区内的乱搭乱建进行了整治清理。二是加强了张家码头农贸市场和豪苑市场的秩序的整治，对周边的越门经营和小摊小贩进行了规范，对新华书店的消防通道占用进行了清理，对市场内的配套设施设备进行了维修更新改造。三是交通文明劝导工作积极落实到位，对责任路段和网格化地段及时清扫到位。四是在省级验收中，我中心负责的相关工作均落实到位。  </w:t>
      </w:r>
    </w:p>
    <w:p>
      <w:pPr>
        <w:keepNext w:val="0"/>
        <w:keepLines w:val="0"/>
        <w:pageBreakBefore w:val="0"/>
        <w:widowControl/>
        <w:kinsoku/>
        <w:wordWrap/>
        <w:overflowPunct/>
        <w:topLinePunct w:val="0"/>
        <w:autoSpaceDE/>
        <w:autoSpaceDN/>
        <w:bidi w:val="0"/>
        <w:adjustRightInd/>
        <w:snapToGrid/>
        <w:spacing w:line="584" w:lineRule="exact"/>
        <w:ind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精准扶贫工作扎实开展。驻村帮扶工作队和帮扶责任人定期走访，根据实际情况制定脱贫攻坚工作实施方案和计划，实行扶贫帮困“一户一策”，解决贫困户的实际困难。24名工作队员动真情、真扶贫、扶真贫真抓实干、埋头苦干，真正做到了“不脱贫不收队”。全年共下村走访20余次，支持精准扶贫资金21万余元，帮助30户贫困户实现了脱贫摘帽。</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五、存在的主要问题</w:t>
      </w:r>
    </w:p>
    <w:p>
      <w:pPr>
        <w:pStyle w:val="2"/>
        <w:keepNext w:val="0"/>
        <w:keepLines w:val="0"/>
        <w:widowControl/>
        <w:suppressLineNumbers w:val="0"/>
        <w:spacing w:before="0" w:beforeAutospacing="0" w:after="0" w:afterAutospacing="0" w:line="33" w:lineRule="atLeast"/>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（1）对于绩效评价的认识不够深入，把预算绩效简单等同于工作目标、工作考核和业务管理。</w:t>
      </w:r>
    </w:p>
    <w:p>
      <w:pPr>
        <w:pStyle w:val="2"/>
        <w:keepNext w:val="0"/>
        <w:keepLines w:val="0"/>
        <w:widowControl/>
        <w:suppressLineNumbers w:val="0"/>
        <w:spacing w:before="0" w:beforeAutospacing="0" w:after="0" w:afterAutospacing="0" w:line="33" w:lineRule="atLeast"/>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（2）绩效目标和指标往往根据项目实际完成情况制定，对项目执行过程有效约束不够，存在一定的偏差。</w:t>
      </w:r>
    </w:p>
    <w:p>
      <w:pPr>
        <w:pStyle w:val="2"/>
        <w:keepNext w:val="0"/>
        <w:keepLines w:val="0"/>
        <w:widowControl/>
        <w:suppressLineNumbers w:val="0"/>
        <w:spacing w:before="0" w:beforeAutospacing="0" w:after="0" w:afterAutospacing="0" w:line="33" w:lineRule="atLeast"/>
        <w:ind w:left="0" w:righ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（3）在绩效考评指标的设计上，部分特色指标缺乏数据支持和可行的分析测评</w:t>
      </w:r>
      <w:r>
        <w:rPr>
          <w:rFonts w:hint="eastAsia" w:ascii="仿宋_GB2312" w:hAnsi="仿宋_GB2312" w:eastAsia="仿宋_GB2312" w:cs="仿宋_GB2312"/>
          <w:color w:val="333333"/>
          <w:sz w:val="32"/>
          <w:szCs w:val="32"/>
        </w:rPr>
        <w:t>，绩效指标体系有待完善。</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color w:val="333333"/>
          <w:sz w:val="32"/>
          <w:szCs w:val="32"/>
          <w:lang w:eastAsia="zh-CN"/>
        </w:rPr>
        <w:t>六</w:t>
      </w:r>
      <w:r>
        <w:rPr>
          <w:rFonts w:hint="eastAsia" w:ascii="黑体" w:hAnsi="黑体" w:eastAsia="黑体" w:cs="黑体"/>
          <w:b w:val="0"/>
          <w:bCs w:val="0"/>
          <w:color w:val="333333"/>
          <w:sz w:val="32"/>
          <w:szCs w:val="32"/>
        </w:rPr>
        <w:t>、改进措施和建议</w:t>
      </w:r>
    </w:p>
    <w:p>
      <w:pPr>
        <w:pStyle w:val="2"/>
        <w:keepNext w:val="0"/>
        <w:keepLines w:val="0"/>
        <w:widowControl/>
        <w:suppressLineNumbers w:val="0"/>
        <w:spacing w:before="0" w:beforeAutospacing="0" w:after="0" w:afterAutospacing="0" w:line="33"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中心将加强绩效评价管理制度和流程的建设，进一步深化、完善绩效管理体系，建立全过程的预算绩效管理机制，促进绩效管理工作向广度和深度延伸。规范绩效评价管理资料的收集整理，确保相关信息完整、可靠，客观公正地反映项目资金实际使用和产生的绩效状况，为今后该项目实施方向及管理方式的改进提供指导。</w:t>
      </w:r>
    </w:p>
    <w:p>
      <w:pPr>
        <w:pStyle w:val="2"/>
        <w:keepNext w:val="0"/>
        <w:keepLines w:val="0"/>
        <w:widowControl/>
        <w:suppressLineNumbers w:val="0"/>
        <w:spacing w:before="0" w:beforeAutospacing="0" w:after="0" w:afterAutospacing="0" w:line="33" w:lineRule="atLeast"/>
        <w:ind w:left="0" w:right="0" w:firstLine="420"/>
        <w:jc w:val="both"/>
        <w:rPr>
          <w:rFonts w:hint="eastAsia" w:ascii="仿宋_GB2312" w:hAnsi="Times New Roman" w:eastAsia="仿宋_GB2312" w:cs="Times New Roman"/>
          <w:kern w:val="2"/>
          <w:sz w:val="32"/>
          <w:szCs w:val="32"/>
          <w:lang w:val="en-US" w:eastAsia="zh-CN" w:bidi="ar-SA"/>
        </w:rPr>
      </w:pPr>
    </w:p>
    <w:p>
      <w:pPr>
        <w:pStyle w:val="2"/>
        <w:keepNext w:val="0"/>
        <w:keepLines w:val="0"/>
        <w:widowControl/>
        <w:suppressLineNumbers w:val="0"/>
        <w:spacing w:before="0" w:beforeAutospacing="0" w:after="0" w:afterAutospacing="0" w:line="33" w:lineRule="atLeast"/>
        <w:ind w:left="0" w:right="0" w:firstLine="420"/>
        <w:jc w:val="both"/>
        <w:rPr>
          <w:rFonts w:hint="eastAsia" w:ascii="仿宋_GB2312" w:hAnsi="Times New Roman" w:eastAsia="仿宋_GB2312" w:cs="Times New Roman"/>
          <w:kern w:val="2"/>
          <w:sz w:val="32"/>
          <w:szCs w:val="32"/>
          <w:lang w:val="en-US" w:eastAsia="zh-CN" w:bidi="ar-SA"/>
        </w:rPr>
      </w:pPr>
    </w:p>
    <w:p>
      <w:pPr>
        <w:keepNext w:val="0"/>
        <w:keepLines w:val="0"/>
        <w:widowControl/>
        <w:suppressLineNumbers w:val="0"/>
        <w:spacing w:before="0" w:beforeAutospacing="0" w:after="0" w:afterAutospacing="0" w:line="594" w:lineRule="exact"/>
        <w:ind w:left="0" w:right="0"/>
        <w:jc w:val="both"/>
        <w:rPr>
          <w:rFonts w:hint="eastAsia" w:ascii="Calibri" w:hAnsi="方正小标宋简体" w:eastAsia="方正小标宋简体" w:cs="方正小标宋简体"/>
          <w:bCs/>
          <w:kern w:val="0"/>
          <w:sz w:val="44"/>
          <w:szCs w:val="44"/>
          <w:lang w:val="en-US" w:eastAsia="zh-CN" w:bidi="ar"/>
        </w:rPr>
      </w:pPr>
    </w:p>
    <w:p>
      <w:pPr>
        <w:keepNext w:val="0"/>
        <w:keepLines w:val="0"/>
        <w:widowControl/>
        <w:suppressLineNumbers w:val="0"/>
        <w:spacing w:before="0" w:beforeAutospacing="0" w:after="0" w:afterAutospacing="0"/>
        <w:ind w:left="0" w:right="0"/>
        <w:jc w:val="center"/>
        <w:rPr>
          <w:rFonts w:eastAsia="方正小标宋简体"/>
          <w:bCs/>
          <w:kern w:val="0"/>
          <w:sz w:val="44"/>
          <w:szCs w:val="44"/>
          <w:lang w:val="en-US"/>
        </w:rPr>
      </w:pPr>
      <w:r>
        <w:rPr>
          <w:rFonts w:hint="eastAsia" w:ascii="Calibri" w:hAnsi="方正小标宋简体" w:eastAsia="方正小标宋简体" w:cs="方正小标宋简体"/>
          <w:bCs/>
          <w:kern w:val="0"/>
          <w:sz w:val="44"/>
          <w:szCs w:val="44"/>
          <w:lang w:val="en-US" w:eastAsia="zh-CN" w:bidi="ar"/>
        </w:rPr>
        <w:t>桃江县住房保障服务中心</w:t>
      </w:r>
      <w:r>
        <w:rPr>
          <w:rFonts w:hint="default" w:ascii="Calibri" w:hAnsi="Calibri" w:eastAsia="方正小标宋简体" w:cs="Times New Roman"/>
          <w:bCs/>
          <w:kern w:val="0"/>
          <w:sz w:val="44"/>
          <w:szCs w:val="44"/>
          <w:lang w:val="en-US" w:eastAsia="zh-CN" w:bidi="ar"/>
        </w:rPr>
        <w:t>2019</w:t>
      </w:r>
      <w:r>
        <w:rPr>
          <w:rFonts w:hint="eastAsia" w:ascii="Calibri" w:hAnsi="方正小标宋简体" w:eastAsia="方正小标宋简体" w:cs="方正小标宋简体"/>
          <w:bCs/>
          <w:kern w:val="0"/>
          <w:sz w:val="44"/>
          <w:szCs w:val="44"/>
          <w:lang w:val="en-US" w:eastAsia="zh-CN" w:bidi="ar"/>
        </w:rPr>
        <w:t>年度部门整体支出绩效评价指标及评分表</w:t>
      </w:r>
    </w:p>
    <w:p>
      <w:pPr>
        <w:keepNext w:val="0"/>
        <w:keepLines w:val="0"/>
        <w:widowControl/>
        <w:suppressLineNumbers w:val="0"/>
        <w:spacing w:before="0" w:beforeAutospacing="0" w:after="0" w:afterAutospacing="0"/>
        <w:ind w:left="0" w:right="0"/>
        <w:jc w:val="left"/>
        <w:rPr>
          <w:rFonts w:eastAsia="宋体"/>
          <w:kern w:val="0"/>
          <w:sz w:val="24"/>
          <w:szCs w:val="24"/>
          <w:lang w:val="en-US"/>
        </w:rPr>
      </w:pPr>
      <w:r>
        <w:rPr>
          <w:rFonts w:hint="eastAsia" w:ascii="Calibri" w:hAnsi="Calibri" w:eastAsia="宋体" w:cs="宋体"/>
          <w:kern w:val="0"/>
          <w:sz w:val="24"/>
          <w:szCs w:val="24"/>
          <w:lang w:val="en-US" w:eastAsia="zh-CN" w:bidi="ar"/>
        </w:rPr>
        <w:t>评价单位（盖章）：</w:t>
      </w:r>
      <w:r>
        <w:rPr>
          <w:rFonts w:hint="default" w:ascii="Calibri" w:hAnsi="Calibri" w:eastAsia="宋体" w:cs="Times New Roman"/>
          <w:kern w:val="0"/>
          <w:sz w:val="24"/>
          <w:szCs w:val="24"/>
          <w:lang w:val="en-US" w:eastAsia="zh-CN" w:bidi="ar"/>
        </w:rPr>
        <w:t xml:space="preserve">                                                                         </w:t>
      </w:r>
      <w:r>
        <w:rPr>
          <w:rFonts w:hint="eastAsia" w:ascii="Calibri" w:hAnsi="Calibri" w:eastAsia="宋体" w:cs="宋体"/>
          <w:kern w:val="0"/>
          <w:sz w:val="24"/>
          <w:szCs w:val="24"/>
          <w:lang w:val="en-US" w:eastAsia="zh-CN" w:bidi="ar"/>
        </w:rPr>
        <w:t>填报日期：</w:t>
      </w:r>
      <w:r>
        <w:rPr>
          <w:rFonts w:hint="default" w:ascii="Calibri" w:hAnsi="Calibri" w:eastAsia="宋体" w:cs="Times New Roman"/>
          <w:kern w:val="0"/>
          <w:sz w:val="24"/>
          <w:szCs w:val="24"/>
          <w:lang w:val="en-US" w:eastAsia="zh-CN" w:bidi="ar"/>
        </w:rPr>
        <w:t xml:space="preserve">2020 </w:t>
      </w:r>
      <w:r>
        <w:rPr>
          <w:rFonts w:hint="eastAsia" w:ascii="Calibri" w:hAnsi="Calibri" w:eastAsia="宋体" w:cs="宋体"/>
          <w:kern w:val="0"/>
          <w:sz w:val="24"/>
          <w:szCs w:val="24"/>
          <w:lang w:val="en-US" w:eastAsia="zh-CN" w:bidi="ar"/>
        </w:rPr>
        <w:t>年</w:t>
      </w:r>
      <w:r>
        <w:rPr>
          <w:rFonts w:hint="default" w:ascii="Calibri" w:hAnsi="Calibri" w:eastAsia="宋体" w:cs="Times New Roman"/>
          <w:kern w:val="0"/>
          <w:sz w:val="24"/>
          <w:szCs w:val="24"/>
          <w:lang w:val="en-US" w:eastAsia="zh-CN" w:bidi="ar"/>
        </w:rPr>
        <w:t xml:space="preserve"> 4 </w:t>
      </w:r>
      <w:r>
        <w:rPr>
          <w:rFonts w:hint="eastAsia" w:ascii="Calibri" w:hAnsi="Calibri" w:eastAsia="宋体" w:cs="宋体"/>
          <w:kern w:val="0"/>
          <w:sz w:val="24"/>
          <w:szCs w:val="24"/>
          <w:lang w:val="en-US" w:eastAsia="zh-CN" w:bidi="ar"/>
        </w:rPr>
        <w:t>月</w:t>
      </w:r>
      <w:r>
        <w:rPr>
          <w:rFonts w:hint="default" w:ascii="Calibri" w:hAnsi="Calibri" w:eastAsia="宋体" w:cs="Times New Roman"/>
          <w:kern w:val="0"/>
          <w:sz w:val="24"/>
          <w:szCs w:val="24"/>
          <w:lang w:val="en-US" w:eastAsia="zh-CN" w:bidi="ar"/>
        </w:rPr>
        <w:t xml:space="preserve"> 02 </w:t>
      </w:r>
      <w:r>
        <w:rPr>
          <w:rFonts w:hint="eastAsia" w:ascii="Calibri" w:hAnsi="Calibri" w:eastAsia="宋体" w:cs="宋体"/>
          <w:kern w:val="0"/>
          <w:sz w:val="24"/>
          <w:szCs w:val="24"/>
          <w:lang w:val="en-US" w:eastAsia="zh-CN" w:bidi="ar"/>
        </w:rPr>
        <w:t>日</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31"/>
        <w:gridCol w:w="1065"/>
        <w:gridCol w:w="1410"/>
        <w:gridCol w:w="4341"/>
        <w:gridCol w:w="5899"/>
        <w:gridCol w:w="508"/>
        <w:gridCol w:w="752"/>
        <w:gridCol w:w="7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2" w:hRule="atLeast"/>
          <w:tblHeader/>
          <w:jc w:val="center"/>
        </w:trPr>
        <w:tc>
          <w:tcPr>
            <w:tcW w:w="1031" w:type="dxa"/>
            <w:tcBorders>
              <w:top w:val="single" w:color="auto" w:sz="12"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lang w:val="en-US"/>
              </w:rPr>
            </w:pPr>
            <w:r>
              <w:rPr>
                <w:rFonts w:hint="eastAsia" w:ascii="Calibri" w:hAnsi="Calibri" w:eastAsia="黑体" w:cs="黑体"/>
                <w:bCs/>
                <w:kern w:val="0"/>
                <w:sz w:val="24"/>
                <w:szCs w:val="24"/>
                <w:lang w:val="en-US" w:eastAsia="zh-CN" w:bidi="ar"/>
              </w:rPr>
              <w:t>一级</w:t>
            </w:r>
          </w:p>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lang w:val="en-US"/>
              </w:rPr>
            </w:pPr>
            <w:r>
              <w:rPr>
                <w:rFonts w:hint="eastAsia" w:ascii="Calibri" w:hAnsi="Calibri" w:eastAsia="黑体" w:cs="黑体"/>
                <w:bCs/>
                <w:kern w:val="0"/>
                <w:sz w:val="24"/>
                <w:szCs w:val="24"/>
                <w:lang w:val="en-US" w:eastAsia="zh-CN" w:bidi="ar"/>
              </w:rPr>
              <w:t>指标</w:t>
            </w:r>
          </w:p>
        </w:tc>
        <w:tc>
          <w:tcPr>
            <w:tcW w:w="1065" w:type="dxa"/>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lang w:val="en-US"/>
              </w:rPr>
            </w:pPr>
            <w:r>
              <w:rPr>
                <w:rFonts w:hint="eastAsia" w:ascii="Calibri" w:hAnsi="Calibri" w:eastAsia="黑体" w:cs="黑体"/>
                <w:bCs/>
                <w:kern w:val="0"/>
                <w:sz w:val="24"/>
                <w:szCs w:val="24"/>
                <w:lang w:val="en-US" w:eastAsia="zh-CN" w:bidi="ar"/>
              </w:rPr>
              <w:t>二级</w:t>
            </w:r>
          </w:p>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lang w:val="en-US"/>
              </w:rPr>
            </w:pPr>
            <w:r>
              <w:rPr>
                <w:rFonts w:hint="eastAsia" w:ascii="Calibri" w:hAnsi="Calibri" w:eastAsia="黑体" w:cs="黑体"/>
                <w:bCs/>
                <w:kern w:val="0"/>
                <w:sz w:val="24"/>
                <w:szCs w:val="24"/>
                <w:lang w:val="en-US" w:eastAsia="zh-CN" w:bidi="ar"/>
              </w:rPr>
              <w:t>指标</w:t>
            </w:r>
          </w:p>
        </w:tc>
        <w:tc>
          <w:tcPr>
            <w:tcW w:w="1410" w:type="dxa"/>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lang w:val="en-US"/>
              </w:rPr>
            </w:pPr>
            <w:r>
              <w:rPr>
                <w:rFonts w:hint="eastAsia" w:ascii="Calibri" w:hAnsi="Calibri" w:eastAsia="黑体" w:cs="黑体"/>
                <w:bCs/>
                <w:kern w:val="0"/>
                <w:sz w:val="24"/>
                <w:szCs w:val="24"/>
                <w:lang w:val="en-US" w:eastAsia="zh-CN" w:bidi="ar"/>
              </w:rPr>
              <w:t>三级</w:t>
            </w:r>
          </w:p>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lang w:val="en-US"/>
              </w:rPr>
            </w:pPr>
            <w:r>
              <w:rPr>
                <w:rFonts w:hint="eastAsia" w:ascii="Calibri" w:hAnsi="Calibri" w:eastAsia="黑体" w:cs="黑体"/>
                <w:bCs/>
                <w:kern w:val="0"/>
                <w:sz w:val="24"/>
                <w:szCs w:val="24"/>
                <w:lang w:val="en-US" w:eastAsia="zh-CN" w:bidi="ar"/>
              </w:rPr>
              <w:t>指标</w:t>
            </w:r>
          </w:p>
        </w:tc>
        <w:tc>
          <w:tcPr>
            <w:tcW w:w="4341" w:type="dxa"/>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lang w:val="en-US"/>
              </w:rPr>
            </w:pPr>
            <w:r>
              <w:rPr>
                <w:rFonts w:hint="eastAsia" w:ascii="Calibri" w:hAnsi="Calibri" w:eastAsia="黑体" w:cs="黑体"/>
                <w:bCs/>
                <w:kern w:val="0"/>
                <w:sz w:val="24"/>
                <w:szCs w:val="24"/>
                <w:lang w:val="en-US" w:eastAsia="zh-CN" w:bidi="ar"/>
              </w:rPr>
              <w:t>指标内容</w:t>
            </w:r>
          </w:p>
        </w:tc>
        <w:tc>
          <w:tcPr>
            <w:tcW w:w="5899" w:type="dxa"/>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lang w:val="en-US"/>
              </w:rPr>
            </w:pPr>
            <w:r>
              <w:rPr>
                <w:rFonts w:hint="eastAsia" w:ascii="Calibri" w:hAnsi="Calibri" w:eastAsia="黑体" w:cs="黑体"/>
                <w:bCs/>
                <w:kern w:val="0"/>
                <w:sz w:val="24"/>
                <w:szCs w:val="24"/>
                <w:lang w:val="en-US" w:eastAsia="zh-CN" w:bidi="ar"/>
              </w:rPr>
              <w:t>指标说明</w:t>
            </w:r>
          </w:p>
        </w:tc>
        <w:tc>
          <w:tcPr>
            <w:tcW w:w="508" w:type="dxa"/>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lang w:val="en-US"/>
              </w:rPr>
            </w:pPr>
            <w:r>
              <w:rPr>
                <w:rFonts w:hint="eastAsia" w:ascii="Calibri" w:hAnsi="Calibri" w:eastAsia="黑体" w:cs="黑体"/>
                <w:bCs/>
                <w:kern w:val="0"/>
                <w:sz w:val="24"/>
                <w:szCs w:val="24"/>
                <w:lang w:val="en-US" w:eastAsia="zh-CN" w:bidi="ar"/>
              </w:rPr>
              <w:t>分值</w:t>
            </w:r>
          </w:p>
        </w:tc>
        <w:tc>
          <w:tcPr>
            <w:tcW w:w="752" w:type="dxa"/>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lang w:val="en-US"/>
              </w:rPr>
            </w:pPr>
            <w:r>
              <w:rPr>
                <w:rFonts w:hint="eastAsia" w:ascii="Calibri" w:hAnsi="Calibri" w:eastAsia="黑体" w:cs="黑体"/>
                <w:bCs/>
                <w:kern w:val="0"/>
                <w:sz w:val="24"/>
                <w:szCs w:val="24"/>
                <w:lang w:val="en-US" w:eastAsia="zh-CN" w:bidi="ar"/>
              </w:rPr>
              <w:t>自评得分</w:t>
            </w:r>
          </w:p>
        </w:tc>
        <w:tc>
          <w:tcPr>
            <w:tcW w:w="760" w:type="dxa"/>
            <w:tcBorders>
              <w:top w:val="single" w:color="auto" w:sz="12"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lang w:val="en-US"/>
              </w:rPr>
            </w:pPr>
            <w:r>
              <w:rPr>
                <w:rFonts w:hint="eastAsia" w:ascii="Calibri" w:hAnsi="Calibri" w:eastAsia="黑体" w:cs="黑体"/>
                <w:bCs/>
                <w:kern w:val="0"/>
                <w:sz w:val="24"/>
                <w:szCs w:val="24"/>
                <w:lang w:val="en-US" w:eastAsia="zh-CN" w:bidi="ar"/>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投入</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1"/>
                <w:szCs w:val="21"/>
                <w:lang w:val="en-US" w:eastAsia="zh-CN" w:bidi="ar"/>
              </w:rPr>
              <w:t>（</w:t>
            </w:r>
            <w:r>
              <w:rPr>
                <w:rFonts w:hint="default" w:ascii="Calibri" w:hAnsi="Calibri" w:eastAsia="宋体" w:cs="Times New Roman"/>
                <w:kern w:val="0"/>
                <w:sz w:val="21"/>
                <w:szCs w:val="21"/>
                <w:lang w:val="en-US" w:eastAsia="zh-CN" w:bidi="ar"/>
              </w:rPr>
              <w:t>20</w:t>
            </w:r>
            <w:r>
              <w:rPr>
                <w:rFonts w:hint="eastAsia" w:ascii="Calibri" w:hAnsi="Calibri" w:eastAsia="宋体" w:cs="宋体"/>
                <w:kern w:val="0"/>
                <w:sz w:val="21"/>
                <w:szCs w:val="21"/>
                <w:lang w:val="en-US" w:eastAsia="zh-CN" w:bidi="ar"/>
              </w:rPr>
              <w:t>分）</w:t>
            </w:r>
          </w:p>
        </w:tc>
        <w:tc>
          <w:tcPr>
            <w:tcW w:w="10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设定</w:t>
            </w:r>
            <w:r>
              <w:rPr>
                <w:rFonts w:hint="default" w:ascii="Calibri" w:hAnsi="Calibri"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目标</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1"/>
                <w:szCs w:val="21"/>
                <w:lang w:val="en-US" w:eastAsia="zh-CN" w:bidi="ar"/>
              </w:rPr>
              <w:t>（</w:t>
            </w:r>
            <w:r>
              <w:rPr>
                <w:rFonts w:hint="default" w:ascii="Calibri" w:hAnsi="Calibri" w:eastAsia="宋体" w:cs="Times New Roman"/>
                <w:kern w:val="0"/>
                <w:sz w:val="21"/>
                <w:szCs w:val="21"/>
                <w:lang w:val="en-US" w:eastAsia="zh-CN" w:bidi="ar"/>
              </w:rPr>
              <w:t>10</w:t>
            </w:r>
            <w:r>
              <w:rPr>
                <w:rFonts w:hint="eastAsia" w:ascii="Calibri" w:hAnsi="Calibri" w:eastAsia="宋体" w:cs="宋体"/>
                <w:kern w:val="0"/>
                <w:sz w:val="21"/>
                <w:szCs w:val="21"/>
                <w:lang w:val="en-US" w:eastAsia="zh-CN" w:bidi="ar"/>
              </w:rPr>
              <w:t>分）</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绩效目标合理性</w:t>
            </w:r>
          </w:p>
          <w:p>
            <w:pPr>
              <w:keepNext w:val="0"/>
              <w:keepLines w:val="0"/>
              <w:widowControl/>
              <w:suppressLineNumbers w:val="0"/>
              <w:spacing w:before="0" w:beforeAutospacing="0" w:after="0" w:afterAutospacing="0" w:line="31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5</w:t>
            </w:r>
            <w:r>
              <w:rPr>
                <w:rFonts w:hint="eastAsia" w:ascii="Calibri" w:hAnsi="Calibri" w:eastAsia="宋体" w:cs="宋体"/>
                <w:kern w:val="0"/>
                <w:sz w:val="24"/>
                <w:szCs w:val="24"/>
                <w:lang w:val="en-US" w:eastAsia="zh-CN" w:bidi="ar"/>
              </w:rPr>
              <w:t>分）</w:t>
            </w:r>
          </w:p>
          <w:p>
            <w:pPr>
              <w:keepNext w:val="0"/>
              <w:keepLines w:val="0"/>
              <w:widowControl/>
              <w:suppressLineNumbers w:val="0"/>
              <w:spacing w:before="0" w:beforeAutospacing="0" w:after="0" w:afterAutospacing="0" w:line="310" w:lineRule="exact"/>
              <w:ind w:left="0" w:right="0"/>
              <w:jc w:val="center"/>
              <w:rPr>
                <w:rFonts w:hint="default" w:eastAsia="宋体"/>
                <w:kern w:val="0"/>
                <w:sz w:val="24"/>
                <w:szCs w:val="24"/>
                <w:lang w:val="en-US"/>
              </w:rPr>
            </w:pPr>
          </w:p>
        </w:tc>
        <w:tc>
          <w:tcPr>
            <w:tcW w:w="43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部门设立的整体绩效目标依据是否充分，是否符合客观实际，是否与部门履职、年度工作任务相符。</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、是否设立年度绩效目标，目标是否明确；</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b/>
                <w:kern w:val="0"/>
                <w:sz w:val="24"/>
                <w:szCs w:val="24"/>
                <w:lang w:val="en-US"/>
              </w:rPr>
            </w:pPr>
            <w:r>
              <w:rPr>
                <w:rFonts w:hint="default" w:ascii="Calibri" w:hAnsi="Calibri" w:eastAsia="宋体" w:cs="Times New Roman"/>
                <w:b/>
                <w:kern w:val="0"/>
                <w:sz w:val="24"/>
                <w:szCs w:val="24"/>
                <w:lang w:val="en-US" w:eastAsia="zh-CN" w:bidi="ar"/>
              </w:rPr>
              <w:t>2</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b/>
                <w:kern w:val="0"/>
                <w:sz w:val="24"/>
                <w:szCs w:val="24"/>
                <w:lang w:val="en-US"/>
              </w:rPr>
            </w:pPr>
            <w:r>
              <w:rPr>
                <w:rFonts w:hint="eastAsia" w:ascii="Calibri" w:hAnsi="Calibri" w:eastAsia="宋体" w:cs="宋体"/>
                <w:b/>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、是否符合国家法律法规、国民经济和社会发展总体规划；</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3</w:t>
            </w:r>
            <w:r>
              <w:rPr>
                <w:rFonts w:hint="eastAsia" w:ascii="Calibri" w:hAnsi="Calibri" w:eastAsia="宋体" w:cs="宋体"/>
                <w:kern w:val="0"/>
                <w:sz w:val="24"/>
                <w:szCs w:val="24"/>
                <w:lang w:val="en-US" w:eastAsia="zh-CN" w:bidi="ar"/>
              </w:rPr>
              <w:t>、是否符合部门三定方案确定的职责；</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4</w:t>
            </w:r>
            <w:r>
              <w:rPr>
                <w:rFonts w:hint="eastAsia" w:ascii="Calibri" w:hAnsi="Calibri" w:eastAsia="宋体" w:cs="宋体"/>
                <w:kern w:val="0"/>
                <w:sz w:val="24"/>
                <w:szCs w:val="24"/>
                <w:lang w:val="en-US" w:eastAsia="zh-CN" w:bidi="ar"/>
              </w:rPr>
              <w:t>、是否符合部门制定的中长期实施规划；</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绩效指标明确性</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5</w:t>
            </w:r>
            <w:r>
              <w:rPr>
                <w:rFonts w:hint="eastAsia" w:ascii="Calibri" w:hAnsi="Calibri" w:eastAsia="宋体" w:cs="宋体"/>
                <w:kern w:val="0"/>
                <w:sz w:val="24"/>
                <w:szCs w:val="24"/>
                <w:lang w:val="en-US" w:eastAsia="zh-CN" w:bidi="ar"/>
              </w:rPr>
              <w:t>分）</w:t>
            </w:r>
          </w:p>
        </w:tc>
        <w:tc>
          <w:tcPr>
            <w:tcW w:w="43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部门依据整体绩效目标所设定的绩效指标是否清晰、细化、可衡量。</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、指标设置是否清晰、细化、可衡量；</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、指标值的设置是否符合逻辑，是否符合行业标准和相关要求；</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lang w:val="en-US"/>
              </w:rPr>
            </w:pPr>
            <w:r>
              <w:rPr>
                <w:rFonts w:hint="default" w:ascii="Calibri" w:hAnsi="Calibri" w:eastAsia="宋体" w:cs="Times New Roman"/>
                <w:kern w:val="0"/>
                <w:sz w:val="24"/>
                <w:szCs w:val="24"/>
                <w:lang w:val="en-US" w:eastAsia="zh-CN" w:bidi="ar"/>
              </w:rPr>
              <w:t>3</w:t>
            </w:r>
            <w:r>
              <w:rPr>
                <w:rFonts w:hint="eastAsia" w:ascii="Calibri" w:hAnsi="Calibri" w:eastAsia="宋体" w:cs="宋体"/>
                <w:kern w:val="0"/>
                <w:sz w:val="24"/>
                <w:szCs w:val="24"/>
                <w:lang w:val="en-US" w:eastAsia="zh-CN" w:bidi="ar"/>
              </w:rPr>
              <w:t>、是否与部门年度的任务数或计划数相对应；</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4</w:t>
            </w:r>
            <w:r>
              <w:rPr>
                <w:rFonts w:hint="eastAsia" w:ascii="Calibri" w:hAnsi="Calibri" w:eastAsia="宋体" w:cs="宋体"/>
                <w:kern w:val="0"/>
                <w:sz w:val="24"/>
                <w:szCs w:val="24"/>
                <w:lang w:val="en-US" w:eastAsia="zh-CN" w:bidi="ar"/>
              </w:rPr>
              <w:t>、是否与本年度部门预算资金相匹配。</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Times New Roman"/>
                <w:kern w:val="0"/>
                <w:sz w:val="24"/>
                <w:szCs w:val="24"/>
                <w:lang w:val="en-US" w:eastAsia="zh-CN" w:bidi="ar"/>
              </w:rPr>
              <w:t>0</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预算</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配置</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1"/>
                <w:szCs w:val="21"/>
                <w:lang w:val="en-US" w:eastAsia="zh-CN" w:bidi="ar"/>
              </w:rPr>
              <w:t>（</w:t>
            </w:r>
            <w:r>
              <w:rPr>
                <w:rFonts w:hint="default" w:ascii="Calibri" w:hAnsi="Calibri" w:eastAsia="宋体" w:cs="Times New Roman"/>
                <w:kern w:val="0"/>
                <w:sz w:val="21"/>
                <w:szCs w:val="21"/>
                <w:lang w:val="en-US" w:eastAsia="zh-CN" w:bidi="ar"/>
              </w:rPr>
              <w:t>10</w:t>
            </w:r>
            <w:r>
              <w:rPr>
                <w:rFonts w:hint="eastAsia" w:ascii="Calibri" w:hAnsi="Calibri" w:eastAsia="宋体" w:cs="宋体"/>
                <w:kern w:val="0"/>
                <w:sz w:val="21"/>
                <w:szCs w:val="21"/>
                <w:lang w:val="en-US" w:eastAsia="zh-CN" w:bidi="ar"/>
              </w:rPr>
              <w:t>分）</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在职人员控制率</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3</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部门本年度实际在职人员数（</w:t>
            </w:r>
            <w:r>
              <w:rPr>
                <w:rFonts w:hint="eastAsia" w:ascii="Calibri" w:hAnsi="Calibri" w:eastAsia="宋体" w:cs="宋体"/>
                <w:kern w:val="2"/>
                <w:sz w:val="24"/>
                <w:szCs w:val="24"/>
                <w:lang w:val="en-US" w:eastAsia="zh-CN" w:bidi="ar"/>
              </w:rPr>
              <w:t>以实际享受部门工会待遇的人数为准）</w:t>
            </w:r>
            <w:r>
              <w:rPr>
                <w:rFonts w:hint="eastAsia" w:ascii="Calibri" w:hAnsi="Calibri" w:eastAsia="宋体" w:cs="宋体"/>
                <w:kern w:val="0"/>
                <w:sz w:val="24"/>
                <w:szCs w:val="24"/>
                <w:lang w:val="en-US" w:eastAsia="zh-CN" w:bidi="ar"/>
              </w:rPr>
              <w:t>与编制数的比率，反映部门人员成本控制程度</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在职人员控制率</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（在职人员数</w:t>
            </w:r>
            <w:r>
              <w:rPr>
                <w:rFonts w:hint="default" w:ascii="Calibri" w:hAnsi="Calibri" w:eastAsia="宋体" w:cs="Times New Roman"/>
                <w:b/>
                <w:kern w:val="0"/>
                <w:sz w:val="24"/>
                <w:szCs w:val="24"/>
                <w:lang w:val="en-US" w:eastAsia="zh-CN" w:bidi="ar"/>
              </w:rPr>
              <w:t>/</w:t>
            </w:r>
            <w:r>
              <w:rPr>
                <w:rFonts w:hint="eastAsia" w:ascii="Calibri" w:hAnsi="Calibri" w:eastAsia="宋体" w:cs="宋体"/>
                <w:kern w:val="0"/>
                <w:sz w:val="24"/>
                <w:szCs w:val="24"/>
                <w:lang w:val="en-US" w:eastAsia="zh-CN" w:bidi="ar"/>
              </w:rPr>
              <w:t>编制数）</w:t>
            </w:r>
            <w:r>
              <w:rPr>
                <w:rFonts w:hint="default" w:ascii="Calibri" w:hAnsi="Calibri" w:eastAsia="宋体" w:cs="Times New Roman"/>
                <w:kern w:val="0"/>
                <w:sz w:val="24"/>
                <w:szCs w:val="24"/>
                <w:lang w:val="en-US" w:eastAsia="zh-CN" w:bidi="ar"/>
              </w:rPr>
              <w:t>×100%</w:t>
            </w:r>
            <w:r>
              <w:rPr>
                <w:rFonts w:hint="eastAsia" w:ascii="Calibri" w:hAnsi="Calibri" w:eastAsia="宋体" w:cs="宋体"/>
                <w:kern w:val="0"/>
                <w:sz w:val="24"/>
                <w:szCs w:val="24"/>
                <w:lang w:val="en-US" w:eastAsia="zh-CN" w:bidi="ar"/>
              </w:rPr>
              <w:t>。大于</w:t>
            </w: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的视情况扣分。</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3</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3</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240" w:right="0" w:hanging="240" w:hangingChars="100"/>
              <w:jc w:val="left"/>
              <w:rPr>
                <w:rFonts w:hint="default" w:eastAsia="宋体"/>
                <w:kern w:val="0"/>
                <w:sz w:val="24"/>
                <w:szCs w:val="24"/>
                <w:lang w:val="en-US"/>
              </w:rPr>
            </w:pP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三公经费</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变动率</w:t>
            </w:r>
          </w:p>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3</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部门本年度</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三公经费</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预算数与上年度</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三公经费</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预算数的变动比率，反映部门控制重点行政成本的努力程度。</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三公经费</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变动率</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（本年度</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三公经费</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总额</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上年度</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三公经费</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总额）</w:t>
            </w:r>
            <w:r>
              <w:rPr>
                <w:rFonts w:hint="default" w:ascii="Calibri" w:hAnsi="Calibri" w:eastAsia="宋体" w:cs="Times New Roman"/>
                <w:b/>
                <w:kern w:val="0"/>
                <w:sz w:val="24"/>
                <w:szCs w:val="24"/>
                <w:lang w:val="en-US" w:eastAsia="zh-CN" w:bidi="ar"/>
              </w:rPr>
              <w:t>/</w:t>
            </w:r>
            <w:r>
              <w:rPr>
                <w:rFonts w:hint="eastAsia" w:ascii="Calibri" w:hAnsi="Calibri" w:eastAsia="宋体" w:cs="宋体"/>
                <w:kern w:val="0"/>
                <w:sz w:val="24"/>
                <w:szCs w:val="24"/>
                <w:lang w:val="en-US" w:eastAsia="zh-CN" w:bidi="ar"/>
              </w:rPr>
              <w:t>上年度</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三公经费</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总额</w:t>
            </w:r>
            <w:r>
              <w:rPr>
                <w:rFonts w:hint="default" w:ascii="Calibri" w:hAnsi="Calibri" w:eastAsia="宋体" w:cs="Times New Roman"/>
                <w:kern w:val="0"/>
                <w:sz w:val="24"/>
                <w:szCs w:val="24"/>
                <w:lang w:val="en-US" w:eastAsia="zh-CN" w:bidi="ar"/>
              </w:rPr>
              <w:t>]×100%</w:t>
            </w:r>
            <w:r>
              <w:rPr>
                <w:rFonts w:hint="eastAsia" w:ascii="Calibri" w:hAnsi="Calibri" w:eastAsia="宋体" w:cs="宋体"/>
                <w:kern w:val="0"/>
                <w:sz w:val="24"/>
                <w:szCs w:val="24"/>
                <w:lang w:val="en-US" w:eastAsia="zh-CN" w:bidi="ar"/>
              </w:rPr>
              <w:t>。大于</w:t>
            </w:r>
            <w:r>
              <w:rPr>
                <w:rFonts w:hint="default" w:ascii="Calibri" w:hAnsi="Calibri" w:eastAsia="宋体" w:cs="Times New Roman"/>
                <w:kern w:val="0"/>
                <w:sz w:val="24"/>
                <w:szCs w:val="24"/>
                <w:lang w:val="en-US" w:eastAsia="zh-CN" w:bidi="ar"/>
              </w:rPr>
              <w:t>0</w:t>
            </w:r>
            <w:r>
              <w:rPr>
                <w:rFonts w:hint="eastAsia" w:ascii="Calibri" w:hAnsi="Calibri" w:eastAsia="宋体" w:cs="宋体"/>
                <w:kern w:val="0"/>
                <w:sz w:val="24"/>
                <w:szCs w:val="24"/>
                <w:lang w:val="en-US" w:eastAsia="zh-CN" w:bidi="ar"/>
              </w:rPr>
              <w:t>的计</w:t>
            </w:r>
            <w:r>
              <w:rPr>
                <w:rFonts w:hint="default" w:ascii="Calibri" w:hAnsi="Calibri" w:eastAsia="宋体" w:cs="Times New Roman"/>
                <w:kern w:val="0"/>
                <w:sz w:val="24"/>
                <w:szCs w:val="24"/>
                <w:lang w:val="en-US" w:eastAsia="zh-CN" w:bidi="ar"/>
              </w:rPr>
              <w:t>0</w:t>
            </w:r>
            <w:r>
              <w:rPr>
                <w:rFonts w:hint="eastAsia" w:ascii="Calibri" w:hAnsi="Calibri" w:eastAsia="宋体" w:cs="宋体"/>
                <w:kern w:val="0"/>
                <w:sz w:val="24"/>
                <w:szCs w:val="24"/>
                <w:lang w:val="en-US" w:eastAsia="zh-CN" w:bidi="ar"/>
              </w:rPr>
              <w:t>分，等于</w:t>
            </w:r>
            <w:r>
              <w:rPr>
                <w:rFonts w:hint="default" w:ascii="Calibri" w:hAnsi="Calibri" w:eastAsia="宋体" w:cs="Times New Roman"/>
                <w:kern w:val="0"/>
                <w:sz w:val="24"/>
                <w:szCs w:val="24"/>
                <w:lang w:val="en-US" w:eastAsia="zh-CN" w:bidi="ar"/>
              </w:rPr>
              <w:t>0</w:t>
            </w:r>
            <w:r>
              <w:rPr>
                <w:rFonts w:hint="eastAsia" w:ascii="Calibri" w:hAnsi="Calibri" w:eastAsia="宋体" w:cs="宋体"/>
                <w:kern w:val="0"/>
                <w:sz w:val="24"/>
                <w:szCs w:val="24"/>
                <w:lang w:val="en-US" w:eastAsia="zh-CN" w:bidi="ar"/>
              </w:rPr>
              <w:t>的计</w:t>
            </w:r>
            <w:r>
              <w:rPr>
                <w:rFonts w:hint="default" w:ascii="Calibri" w:hAnsi="Calibri" w:eastAsia="宋体" w:cs="Times New Roman"/>
                <w:kern w:val="0"/>
                <w:sz w:val="24"/>
                <w:szCs w:val="24"/>
                <w:lang w:val="en-US" w:eastAsia="zh-CN" w:bidi="ar"/>
              </w:rPr>
              <w:t>3</w:t>
            </w:r>
            <w:r>
              <w:rPr>
                <w:rFonts w:hint="eastAsia" w:ascii="Calibri" w:hAnsi="Calibri" w:eastAsia="宋体" w:cs="宋体"/>
                <w:kern w:val="0"/>
                <w:sz w:val="24"/>
                <w:szCs w:val="24"/>
                <w:lang w:val="en-US" w:eastAsia="zh-CN" w:bidi="ar"/>
              </w:rPr>
              <w:t>分，小于</w:t>
            </w:r>
            <w:r>
              <w:rPr>
                <w:rFonts w:hint="default" w:ascii="Calibri" w:hAnsi="Calibri" w:eastAsia="宋体" w:cs="Times New Roman"/>
                <w:kern w:val="0"/>
                <w:sz w:val="24"/>
                <w:szCs w:val="24"/>
                <w:lang w:val="en-US" w:eastAsia="zh-CN" w:bidi="ar"/>
              </w:rPr>
              <w:t>0</w:t>
            </w:r>
            <w:r>
              <w:rPr>
                <w:rFonts w:hint="eastAsia" w:ascii="Calibri" w:hAnsi="Calibri" w:eastAsia="宋体" w:cs="宋体"/>
                <w:kern w:val="0"/>
                <w:sz w:val="24"/>
                <w:szCs w:val="24"/>
                <w:lang w:val="en-US" w:eastAsia="zh-CN" w:bidi="ar"/>
              </w:rPr>
              <w:t>的计</w:t>
            </w:r>
            <w:r>
              <w:rPr>
                <w:rFonts w:hint="default" w:ascii="Calibri" w:hAnsi="Calibri" w:eastAsia="宋体" w:cs="Times New Roman"/>
                <w:kern w:val="0"/>
                <w:sz w:val="24"/>
                <w:szCs w:val="24"/>
                <w:lang w:val="en-US" w:eastAsia="zh-CN" w:bidi="ar"/>
              </w:rPr>
              <w:t>4</w:t>
            </w:r>
            <w:r>
              <w:rPr>
                <w:rFonts w:hint="eastAsia" w:ascii="Calibri" w:hAnsi="Calibri" w:eastAsia="宋体" w:cs="宋体"/>
                <w:kern w:val="0"/>
                <w:sz w:val="24"/>
                <w:szCs w:val="24"/>
                <w:lang w:val="en-US" w:eastAsia="zh-CN" w:bidi="ar"/>
              </w:rPr>
              <w:t>分。</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3</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Times New Roman"/>
                <w:kern w:val="0"/>
                <w:sz w:val="24"/>
                <w:szCs w:val="24"/>
                <w:lang w:val="en-US" w:eastAsia="zh-CN" w:bidi="ar"/>
              </w:rPr>
              <w:t>3</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重点支出安排率</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4</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部门本年度预算安排的重点项目支出与部门项目总支出的比率，反映部门履行主要职责或完成重点任务的保障程度。</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1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重点支出安排率</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（部门年度预算安排的重点项目支出总额</w:t>
            </w:r>
            <w:r>
              <w:rPr>
                <w:rFonts w:hint="default" w:ascii="Calibri" w:hAnsi="Calibri" w:eastAsia="宋体" w:cs="Times New Roman"/>
                <w:b/>
                <w:kern w:val="0"/>
                <w:sz w:val="24"/>
                <w:szCs w:val="24"/>
                <w:lang w:val="en-US" w:eastAsia="zh-CN" w:bidi="ar"/>
              </w:rPr>
              <w:t>/</w:t>
            </w:r>
            <w:r>
              <w:rPr>
                <w:rFonts w:hint="eastAsia" w:ascii="Calibri" w:hAnsi="Calibri" w:eastAsia="宋体" w:cs="宋体"/>
                <w:kern w:val="0"/>
                <w:sz w:val="24"/>
                <w:szCs w:val="24"/>
                <w:lang w:val="en-US" w:eastAsia="zh-CN" w:bidi="ar"/>
              </w:rPr>
              <w:t>项目总支出总额）</w:t>
            </w:r>
            <w:r>
              <w:rPr>
                <w:rFonts w:hint="default" w:ascii="Calibri" w:hAnsi="Calibri" w:eastAsia="宋体" w:cs="Times New Roman"/>
                <w:kern w:val="0"/>
                <w:sz w:val="24"/>
                <w:szCs w:val="24"/>
                <w:lang w:val="en-US" w:eastAsia="zh-CN" w:bidi="ar"/>
              </w:rPr>
              <w:t>×100%</w:t>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80%</w:t>
            </w:r>
            <w:r>
              <w:rPr>
                <w:rFonts w:hint="eastAsia" w:ascii="Calibri" w:hAnsi="Calibri" w:eastAsia="宋体" w:cs="宋体"/>
                <w:kern w:val="0"/>
                <w:sz w:val="24"/>
                <w:szCs w:val="24"/>
                <w:lang w:val="en-US" w:eastAsia="zh-CN" w:bidi="ar"/>
              </w:rPr>
              <w:t>及以上计满分，</w:t>
            </w:r>
            <w:r>
              <w:rPr>
                <w:rFonts w:hint="default" w:ascii="Calibri" w:hAnsi="Calibri" w:eastAsia="宋体" w:cs="Times New Roman"/>
                <w:kern w:val="0"/>
                <w:sz w:val="24"/>
                <w:szCs w:val="24"/>
                <w:lang w:val="en-US" w:eastAsia="zh-CN" w:bidi="ar"/>
              </w:rPr>
              <w:t>60%</w:t>
            </w:r>
            <w:r>
              <w:rPr>
                <w:rFonts w:hint="eastAsia" w:ascii="Calibri" w:hAnsi="Calibri" w:eastAsia="宋体" w:cs="宋体"/>
                <w:kern w:val="0"/>
                <w:sz w:val="24"/>
                <w:szCs w:val="24"/>
                <w:lang w:val="en-US" w:eastAsia="zh-CN" w:bidi="ar"/>
              </w:rPr>
              <w:t>及以上计</w:t>
            </w:r>
            <w:r>
              <w:rPr>
                <w:rFonts w:hint="default" w:ascii="Calibri" w:hAnsi="Calibri" w:eastAsia="宋体" w:cs="Times New Roman"/>
                <w:kern w:val="0"/>
                <w:sz w:val="24"/>
                <w:szCs w:val="24"/>
                <w:lang w:val="en-US" w:eastAsia="zh-CN" w:bidi="ar"/>
              </w:rPr>
              <w:t>3</w:t>
            </w:r>
            <w:r>
              <w:rPr>
                <w:rFonts w:hint="eastAsia" w:ascii="Calibri" w:hAnsi="Calibri" w:eastAsia="宋体" w:cs="宋体"/>
                <w:kern w:val="0"/>
                <w:sz w:val="24"/>
                <w:szCs w:val="24"/>
                <w:lang w:val="en-US" w:eastAsia="zh-CN" w:bidi="ar"/>
              </w:rPr>
              <w:t>分，</w:t>
            </w:r>
            <w:r>
              <w:rPr>
                <w:rFonts w:hint="default" w:ascii="Calibri" w:hAnsi="Calibri" w:eastAsia="宋体" w:cs="Times New Roman"/>
                <w:kern w:val="0"/>
                <w:sz w:val="24"/>
                <w:szCs w:val="24"/>
                <w:lang w:val="en-US" w:eastAsia="zh-CN" w:bidi="ar"/>
              </w:rPr>
              <w:t>40%</w:t>
            </w:r>
            <w:r>
              <w:rPr>
                <w:rFonts w:hint="eastAsia" w:ascii="Calibri" w:hAnsi="Calibri" w:eastAsia="宋体" w:cs="宋体"/>
                <w:kern w:val="0"/>
                <w:sz w:val="24"/>
                <w:szCs w:val="24"/>
                <w:lang w:val="en-US" w:eastAsia="zh-CN" w:bidi="ar"/>
              </w:rPr>
              <w:t>及以上计</w:t>
            </w: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分，</w:t>
            </w:r>
            <w:r>
              <w:rPr>
                <w:rFonts w:hint="default" w:ascii="Calibri" w:hAnsi="Calibri" w:eastAsia="宋体" w:cs="Times New Roman"/>
                <w:kern w:val="0"/>
                <w:sz w:val="24"/>
                <w:szCs w:val="24"/>
                <w:lang w:val="en-US" w:eastAsia="zh-CN" w:bidi="ar"/>
              </w:rPr>
              <w:t>40%</w:t>
            </w:r>
            <w:r>
              <w:rPr>
                <w:rFonts w:hint="eastAsia" w:ascii="Calibri" w:hAnsi="Calibri" w:eastAsia="宋体" w:cs="宋体"/>
                <w:kern w:val="0"/>
                <w:sz w:val="24"/>
                <w:szCs w:val="24"/>
                <w:lang w:val="en-US" w:eastAsia="zh-CN" w:bidi="ar"/>
              </w:rPr>
              <w:t>以下的计</w:t>
            </w: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分。</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4</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4</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过程</w:t>
            </w:r>
          </w:p>
          <w:p>
            <w:pPr>
              <w:keepNext w:val="0"/>
              <w:keepLines w:val="0"/>
              <w:widowControl/>
              <w:suppressLineNumbers w:val="0"/>
              <w:spacing w:before="0" w:beforeAutospacing="0" w:after="0" w:afterAutospacing="0" w:line="300" w:lineRule="exact"/>
              <w:ind w:left="0" w:right="0"/>
              <w:jc w:val="center"/>
              <w:rPr>
                <w:rFonts w:hint="default" w:eastAsia="宋体"/>
                <w:kern w:val="0"/>
                <w:sz w:val="21"/>
                <w:szCs w:val="21"/>
                <w:lang w:val="en-US"/>
              </w:rPr>
            </w:pPr>
            <w:r>
              <w:rPr>
                <w:rFonts w:hint="eastAsia" w:ascii="Calibri" w:hAnsi="Calibri" w:eastAsia="宋体" w:cs="宋体"/>
                <w:kern w:val="0"/>
                <w:sz w:val="21"/>
                <w:szCs w:val="21"/>
                <w:lang w:val="en-US" w:eastAsia="zh-CN" w:bidi="ar"/>
              </w:rPr>
              <w:t>（</w:t>
            </w:r>
            <w:r>
              <w:rPr>
                <w:rFonts w:hint="default" w:ascii="Calibri" w:hAnsi="Calibri" w:eastAsia="宋体" w:cs="Times New Roman"/>
                <w:kern w:val="0"/>
                <w:sz w:val="21"/>
                <w:szCs w:val="21"/>
                <w:lang w:val="en-US" w:eastAsia="zh-CN" w:bidi="ar"/>
              </w:rPr>
              <w:t>40</w:t>
            </w:r>
            <w:r>
              <w:rPr>
                <w:rFonts w:hint="eastAsia" w:ascii="Calibri" w:hAnsi="Calibri" w:eastAsia="宋体" w:cs="宋体"/>
                <w:kern w:val="0"/>
                <w:sz w:val="21"/>
                <w:szCs w:val="21"/>
                <w:lang w:val="en-US" w:eastAsia="zh-CN" w:bidi="ar"/>
              </w:rPr>
              <w:t>分）</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p>
        </w:tc>
        <w:tc>
          <w:tcPr>
            <w:tcW w:w="10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1"/>
                <w:szCs w:val="21"/>
                <w:lang w:val="en-US"/>
              </w:rPr>
            </w:pPr>
            <w:r>
              <w:rPr>
                <w:rFonts w:hint="eastAsia" w:ascii="Calibri" w:hAnsi="Calibri" w:eastAsia="宋体" w:cs="宋体"/>
                <w:kern w:val="0"/>
                <w:sz w:val="24"/>
                <w:szCs w:val="24"/>
                <w:lang w:val="en-US" w:eastAsia="zh-CN" w:bidi="ar"/>
              </w:rPr>
              <w:t>预算</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执行</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1"/>
                <w:szCs w:val="21"/>
                <w:lang w:val="en-US" w:eastAsia="zh-CN" w:bidi="ar"/>
              </w:rPr>
              <w:t>（</w:t>
            </w:r>
            <w:r>
              <w:rPr>
                <w:rFonts w:hint="default" w:ascii="Calibri" w:hAnsi="Calibri" w:eastAsia="宋体" w:cs="Times New Roman"/>
                <w:kern w:val="0"/>
                <w:sz w:val="21"/>
                <w:szCs w:val="21"/>
                <w:lang w:val="en-US" w:eastAsia="zh-CN" w:bidi="ar"/>
              </w:rPr>
              <w:t>15</w:t>
            </w:r>
            <w:r>
              <w:rPr>
                <w:rFonts w:hint="eastAsia" w:ascii="Calibri" w:hAnsi="Calibri" w:eastAsia="宋体" w:cs="宋体"/>
                <w:kern w:val="0"/>
                <w:sz w:val="21"/>
                <w:szCs w:val="21"/>
                <w:lang w:val="en-US" w:eastAsia="zh-CN" w:bidi="ar"/>
              </w:rPr>
              <w:t>分）</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预算</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完成率</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部门本年度预算完成数与预算数的比率，反映部门预算完成程度。</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预算完成率</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（预算完成数</w:t>
            </w:r>
            <w:r>
              <w:rPr>
                <w:rFonts w:hint="default" w:ascii="Calibri" w:hAnsi="Calibri" w:eastAsia="宋体" w:cs="Times New Roman"/>
                <w:b/>
                <w:kern w:val="0"/>
                <w:sz w:val="24"/>
                <w:szCs w:val="24"/>
                <w:lang w:val="en-US" w:eastAsia="zh-CN" w:bidi="ar"/>
              </w:rPr>
              <w:t>/</w:t>
            </w:r>
            <w:r>
              <w:rPr>
                <w:rFonts w:hint="eastAsia" w:ascii="Calibri" w:hAnsi="Calibri" w:eastAsia="宋体" w:cs="宋体"/>
                <w:kern w:val="0"/>
                <w:sz w:val="24"/>
                <w:szCs w:val="24"/>
                <w:lang w:val="en-US" w:eastAsia="zh-CN" w:bidi="ar"/>
              </w:rPr>
              <w:t>预算数）</w:t>
            </w:r>
            <w:r>
              <w:rPr>
                <w:rFonts w:hint="default" w:ascii="Calibri" w:hAnsi="Calibri" w:eastAsia="宋体" w:cs="Times New Roman"/>
                <w:kern w:val="0"/>
                <w:sz w:val="24"/>
                <w:szCs w:val="24"/>
                <w:lang w:val="en-US" w:eastAsia="zh-CN" w:bidi="ar"/>
              </w:rPr>
              <w:t>×100%</w:t>
            </w:r>
            <w:r>
              <w:rPr>
                <w:rFonts w:hint="eastAsia" w:ascii="Calibri" w:hAnsi="Calibri" w:eastAsia="宋体" w:cs="宋体"/>
                <w:kern w:val="0"/>
                <w:sz w:val="24"/>
                <w:szCs w:val="24"/>
                <w:lang w:val="en-US" w:eastAsia="zh-CN" w:bidi="ar"/>
              </w:rPr>
              <w:t>。按比例计分。</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预算</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调整率</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4</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spacing w:val="-6"/>
                <w:kern w:val="0"/>
                <w:sz w:val="24"/>
                <w:szCs w:val="24"/>
                <w:lang w:val="en-US"/>
              </w:rPr>
            </w:pPr>
            <w:r>
              <w:rPr>
                <w:rFonts w:hint="eastAsia" w:ascii="Calibri" w:hAnsi="Calibri" w:eastAsia="宋体" w:cs="宋体"/>
                <w:spacing w:val="-6"/>
                <w:kern w:val="0"/>
                <w:sz w:val="24"/>
                <w:szCs w:val="24"/>
                <w:lang w:val="en-US" w:eastAsia="zh-CN" w:bidi="ar"/>
              </w:rPr>
              <w:t>部门本年度预算调整数（因落实国家政政策、发生不可抗力、上级部门或县委县政府临时交办而产生的调整除外）与预算数的比率，反映部门预算的调整程度。</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预算调整率</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（部门在本年度内涉及预算的追加、追减或结构调整的资金总和</w:t>
            </w:r>
            <w:r>
              <w:rPr>
                <w:rFonts w:hint="default" w:ascii="Calibri" w:hAnsi="Calibri" w:eastAsia="宋体" w:cs="Times New Roman"/>
                <w:b/>
                <w:kern w:val="0"/>
                <w:sz w:val="24"/>
                <w:szCs w:val="24"/>
                <w:lang w:val="en-US" w:eastAsia="zh-CN" w:bidi="ar"/>
              </w:rPr>
              <w:t>/</w:t>
            </w:r>
            <w:r>
              <w:rPr>
                <w:rFonts w:hint="eastAsia" w:ascii="Calibri" w:hAnsi="Calibri" w:eastAsia="宋体" w:cs="宋体"/>
                <w:kern w:val="0"/>
                <w:sz w:val="24"/>
                <w:szCs w:val="24"/>
                <w:lang w:val="en-US" w:eastAsia="zh-CN" w:bidi="ar"/>
              </w:rPr>
              <w:t>预算数）</w:t>
            </w:r>
            <w:r>
              <w:rPr>
                <w:rFonts w:hint="default" w:ascii="Calibri" w:hAnsi="Calibri" w:eastAsia="宋体" w:cs="Times New Roman"/>
                <w:kern w:val="0"/>
                <w:sz w:val="24"/>
                <w:szCs w:val="24"/>
                <w:lang w:val="en-US" w:eastAsia="zh-CN" w:bidi="ar"/>
              </w:rPr>
              <w:t>×100%</w:t>
            </w:r>
            <w:r>
              <w:rPr>
                <w:rFonts w:hint="eastAsia" w:ascii="Calibri" w:hAnsi="Calibri" w:eastAsia="宋体" w:cs="宋体"/>
                <w:kern w:val="0"/>
                <w:sz w:val="24"/>
                <w:szCs w:val="24"/>
                <w:lang w:val="en-US" w:eastAsia="zh-CN" w:bidi="ar"/>
              </w:rPr>
              <w:t>。无调整的计满分，有调整的视情扣分。</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4</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3</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支付</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进度率</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spacing w:val="-6"/>
                <w:kern w:val="0"/>
                <w:sz w:val="24"/>
                <w:szCs w:val="24"/>
                <w:lang w:val="en-US"/>
              </w:rPr>
            </w:pPr>
            <w:r>
              <w:rPr>
                <w:rFonts w:hint="eastAsia" w:ascii="Calibri" w:hAnsi="Calibri" w:eastAsia="宋体" w:cs="宋体"/>
                <w:spacing w:val="-6"/>
                <w:kern w:val="0"/>
                <w:sz w:val="24"/>
                <w:szCs w:val="24"/>
                <w:lang w:val="en-US" w:eastAsia="zh-CN" w:bidi="ar"/>
              </w:rPr>
              <w:t>部门实际支付进度与既定支付进度的比率，反映预算执行的及时性和均衡性程度。</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支付进度率</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（实际支付进度</w:t>
            </w:r>
            <w:r>
              <w:rPr>
                <w:rFonts w:hint="default" w:ascii="Calibri" w:hAnsi="Calibri" w:eastAsia="宋体" w:cs="Times New Roman"/>
                <w:b/>
                <w:kern w:val="0"/>
                <w:sz w:val="24"/>
                <w:szCs w:val="24"/>
                <w:lang w:val="en-US" w:eastAsia="zh-CN" w:bidi="ar"/>
              </w:rPr>
              <w:t>/</w:t>
            </w:r>
            <w:r>
              <w:rPr>
                <w:rFonts w:hint="eastAsia" w:ascii="Calibri" w:hAnsi="Calibri" w:eastAsia="宋体" w:cs="宋体"/>
                <w:kern w:val="0"/>
                <w:sz w:val="24"/>
                <w:szCs w:val="24"/>
                <w:lang w:val="en-US" w:eastAsia="zh-CN" w:bidi="ar"/>
              </w:rPr>
              <w:t>既定支付进度）</w:t>
            </w:r>
            <w:r>
              <w:rPr>
                <w:rFonts w:hint="default" w:ascii="Calibri" w:hAnsi="Calibri" w:eastAsia="宋体" w:cs="Times New Roman"/>
                <w:kern w:val="0"/>
                <w:sz w:val="24"/>
                <w:szCs w:val="24"/>
                <w:lang w:val="en-US" w:eastAsia="zh-CN" w:bidi="ar"/>
              </w:rPr>
              <w:t>×100%</w:t>
            </w:r>
            <w:r>
              <w:rPr>
                <w:rFonts w:hint="eastAsia" w:ascii="Calibri" w:hAnsi="Calibri" w:eastAsia="宋体" w:cs="宋体"/>
                <w:kern w:val="0"/>
                <w:sz w:val="24"/>
                <w:szCs w:val="24"/>
                <w:lang w:val="en-US" w:eastAsia="zh-CN" w:bidi="ar"/>
              </w:rPr>
              <w:t>。支付进度同步的计满分，不同步的视情扣分。</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结</w:t>
            </w:r>
            <w:r>
              <w:rPr>
                <w:rFonts w:hint="default" w:ascii="Calibri" w:hAnsi="Calibri" w:eastAsia="宋体" w:cs="Times New Roman"/>
                <w:kern w:val="0"/>
                <w:sz w:val="24"/>
                <w:szCs w:val="24"/>
                <w:lang w:val="en-US" w:eastAsia="zh-CN" w:bidi="ar"/>
              </w:rPr>
              <w:t xml:space="preserve">  </w:t>
            </w:r>
            <w:r>
              <w:rPr>
                <w:rFonts w:hint="eastAsia" w:ascii="Calibri" w:hAnsi="Calibri" w:eastAsia="宋体" w:cs="宋体"/>
                <w:kern w:val="0"/>
                <w:sz w:val="24"/>
                <w:szCs w:val="24"/>
                <w:lang w:val="en-US" w:eastAsia="zh-CN" w:bidi="ar"/>
              </w:rPr>
              <w:t>转</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结余率</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部门本年度结转结余总额与支出预算数的比率。</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结转结余率</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结转结余总额</w:t>
            </w:r>
            <w:r>
              <w:rPr>
                <w:rFonts w:hint="default" w:ascii="Calibri" w:hAnsi="Calibri" w:eastAsia="宋体" w:cs="Times New Roman"/>
                <w:b/>
                <w:kern w:val="0"/>
                <w:sz w:val="24"/>
                <w:szCs w:val="24"/>
                <w:lang w:val="en-US" w:eastAsia="zh-CN" w:bidi="ar"/>
              </w:rPr>
              <w:t>/</w:t>
            </w:r>
            <w:r>
              <w:rPr>
                <w:rFonts w:hint="eastAsia" w:ascii="Calibri" w:hAnsi="Calibri" w:eastAsia="宋体" w:cs="宋体"/>
                <w:kern w:val="0"/>
                <w:sz w:val="24"/>
                <w:szCs w:val="24"/>
                <w:lang w:val="en-US" w:eastAsia="zh-CN" w:bidi="ar"/>
              </w:rPr>
              <w:t>支出预算数</w:t>
            </w:r>
            <w:r>
              <w:rPr>
                <w:rFonts w:hint="default" w:ascii="Calibri" w:hAnsi="Calibri" w:eastAsia="宋体" w:cs="Times New Roman"/>
                <w:kern w:val="0"/>
                <w:sz w:val="24"/>
                <w:szCs w:val="24"/>
                <w:lang w:val="en-US" w:eastAsia="zh-CN" w:bidi="ar"/>
              </w:rPr>
              <w:t>×100%</w:t>
            </w:r>
            <w:r>
              <w:rPr>
                <w:rFonts w:hint="eastAsia" w:ascii="Calibri" w:hAnsi="Calibri" w:eastAsia="宋体" w:cs="宋体"/>
                <w:kern w:val="0"/>
                <w:sz w:val="24"/>
                <w:szCs w:val="24"/>
                <w:lang w:val="en-US" w:eastAsia="zh-CN" w:bidi="ar"/>
              </w:rPr>
              <w:t>。结转结余率过大的视情扣分。</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公用经费控制率</w:t>
            </w:r>
            <w:r>
              <w:rPr>
                <w:rFonts w:hint="default" w:ascii="Calibri" w:hAnsi="Calibri" w:eastAsia="宋体" w:cs="Times New Roman"/>
                <w:kern w:val="0"/>
                <w:sz w:val="24"/>
                <w:szCs w:val="24"/>
                <w:lang w:val="en-US" w:eastAsia="zh-CN" w:bidi="ar"/>
              </w:rPr>
              <w:t xml:space="preserve">   </w:t>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部门本年度实际支出的公用经费总额与预算安排的公用经费总额的比率，反映部门对机构运转成本的实际控制程度。</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公用经费控制率</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（实际支出公用经费总额</w:t>
            </w:r>
            <w:r>
              <w:rPr>
                <w:rFonts w:hint="default" w:ascii="Calibri" w:hAnsi="Calibri" w:eastAsia="宋体" w:cs="Times New Roman"/>
                <w:b/>
                <w:kern w:val="0"/>
                <w:sz w:val="24"/>
                <w:szCs w:val="24"/>
                <w:lang w:val="en-US" w:eastAsia="zh-CN" w:bidi="ar"/>
              </w:rPr>
              <w:t>/</w:t>
            </w:r>
            <w:r>
              <w:rPr>
                <w:rFonts w:hint="eastAsia" w:ascii="Calibri" w:hAnsi="Calibri" w:eastAsia="宋体" w:cs="宋体"/>
                <w:kern w:val="0"/>
                <w:sz w:val="24"/>
                <w:szCs w:val="24"/>
                <w:lang w:val="en-US" w:eastAsia="zh-CN" w:bidi="ar"/>
              </w:rPr>
              <w:t>预算安排公用经费总额）</w:t>
            </w:r>
            <w:r>
              <w:rPr>
                <w:rFonts w:hint="default" w:ascii="Calibri" w:hAnsi="Calibri" w:eastAsia="宋体" w:cs="Times New Roman"/>
                <w:kern w:val="0"/>
                <w:sz w:val="24"/>
                <w:szCs w:val="24"/>
                <w:lang w:val="en-US" w:eastAsia="zh-CN" w:bidi="ar"/>
              </w:rPr>
              <w:t>×100%</w:t>
            </w:r>
            <w:r>
              <w:rPr>
                <w:rFonts w:hint="eastAsia" w:ascii="Calibri" w:hAnsi="Calibri" w:eastAsia="宋体" w:cs="宋体"/>
                <w:kern w:val="0"/>
                <w:sz w:val="24"/>
                <w:szCs w:val="24"/>
                <w:lang w:val="en-US" w:eastAsia="zh-CN" w:bidi="ar"/>
              </w:rPr>
              <w:t>。控制较好的计满分，控制不好的视情扣分。</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三公经费控制率</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部门本年度</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三公经费</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实际支出数与预算安排数的比率，反映部门对三公经费的实际控制程度</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三公经费</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控制率</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三公经费</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实际支出数</w:t>
            </w:r>
            <w:r>
              <w:rPr>
                <w:rFonts w:hint="default" w:ascii="Calibri" w:hAnsi="Calibri" w:eastAsia="宋体" w:cs="Times New Roman"/>
                <w:b/>
                <w:kern w:val="0"/>
                <w:sz w:val="24"/>
                <w:szCs w:val="24"/>
                <w:lang w:val="en-US" w:eastAsia="zh-CN" w:bidi="ar"/>
              </w:rPr>
              <w:t>/</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三公经费</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预算安排数）</w:t>
            </w:r>
            <w:r>
              <w:rPr>
                <w:rFonts w:hint="default" w:ascii="Calibri" w:hAnsi="Calibri" w:eastAsia="宋体" w:cs="Times New Roman"/>
                <w:kern w:val="0"/>
                <w:sz w:val="24"/>
                <w:szCs w:val="24"/>
                <w:lang w:val="en-US" w:eastAsia="zh-CN" w:bidi="ar"/>
              </w:rPr>
              <w:t>×100%</w:t>
            </w:r>
            <w:r>
              <w:rPr>
                <w:rFonts w:hint="eastAsia" w:ascii="Calibri" w:hAnsi="Calibri" w:eastAsia="宋体" w:cs="宋体"/>
                <w:kern w:val="0"/>
                <w:sz w:val="24"/>
                <w:szCs w:val="24"/>
                <w:lang w:val="en-US" w:eastAsia="zh-CN" w:bidi="ar"/>
              </w:rPr>
              <w:t>。控制较好的计满分，控制不好的视情扣分。</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政府采购执行率</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部门本年度实际政府采购金额与年初政府采购预算的比率。</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政府采购执行率</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（实际政府采购金额</w:t>
            </w:r>
            <w:r>
              <w:rPr>
                <w:rFonts w:hint="default" w:ascii="Calibri" w:hAnsi="Calibri" w:eastAsia="宋体" w:cs="Times New Roman"/>
                <w:b/>
                <w:kern w:val="0"/>
                <w:sz w:val="24"/>
                <w:szCs w:val="24"/>
                <w:lang w:val="en-US" w:eastAsia="zh-CN" w:bidi="ar"/>
              </w:rPr>
              <w:t>/</w:t>
            </w:r>
            <w:r>
              <w:rPr>
                <w:rFonts w:hint="eastAsia" w:ascii="Calibri" w:hAnsi="Calibri" w:eastAsia="宋体" w:cs="宋体"/>
                <w:kern w:val="0"/>
                <w:sz w:val="24"/>
                <w:szCs w:val="24"/>
                <w:lang w:val="en-US" w:eastAsia="zh-CN" w:bidi="ar"/>
              </w:rPr>
              <w:t>政府采购预算数）</w:t>
            </w:r>
            <w:r>
              <w:rPr>
                <w:rFonts w:hint="default" w:ascii="Calibri" w:hAnsi="Calibri" w:eastAsia="宋体" w:cs="Times New Roman"/>
                <w:kern w:val="0"/>
                <w:sz w:val="24"/>
                <w:szCs w:val="24"/>
                <w:lang w:val="en-US" w:eastAsia="zh-CN" w:bidi="ar"/>
              </w:rPr>
              <w:t>×100%</w:t>
            </w:r>
            <w:r>
              <w:rPr>
                <w:rFonts w:hint="eastAsia" w:ascii="Calibri" w:hAnsi="Calibri" w:eastAsia="宋体" w:cs="宋体"/>
                <w:kern w:val="0"/>
                <w:sz w:val="24"/>
                <w:szCs w:val="24"/>
                <w:lang w:val="en-US" w:eastAsia="zh-CN" w:bidi="ar"/>
              </w:rPr>
              <w:t>；执行较好的计满分，执行不好的视情扣分。</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投资评审执行率</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部门本年度实际进行投资评审的项目金额与应进行投资评审的项目金额的比率。</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投资评审执行率</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实际进行投资评审的项目金额</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应执行投资评审的项目金额</w:t>
            </w:r>
            <w:r>
              <w:rPr>
                <w:rFonts w:hint="default" w:ascii="Calibri" w:hAnsi="Calibri" w:eastAsia="宋体" w:cs="Times New Roman"/>
                <w:kern w:val="0"/>
                <w:sz w:val="24"/>
                <w:szCs w:val="24"/>
                <w:lang w:val="en-US" w:eastAsia="zh-CN" w:bidi="ar"/>
              </w:rPr>
              <w:t>×100%</w:t>
            </w:r>
            <w:r>
              <w:rPr>
                <w:rFonts w:hint="eastAsia" w:ascii="Calibri" w:hAnsi="Calibri" w:eastAsia="宋体" w:cs="宋体"/>
                <w:kern w:val="0"/>
                <w:sz w:val="24"/>
                <w:szCs w:val="24"/>
                <w:lang w:val="en-US" w:eastAsia="zh-CN" w:bidi="ar"/>
              </w:rPr>
              <w:t>；按执行比率计分。</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过程</w:t>
            </w:r>
          </w:p>
          <w:p>
            <w:pPr>
              <w:keepNext w:val="0"/>
              <w:keepLines w:val="0"/>
              <w:widowControl/>
              <w:suppressLineNumbers w:val="0"/>
              <w:spacing w:before="0" w:beforeAutospacing="0" w:after="0" w:afterAutospacing="0" w:line="300" w:lineRule="exact"/>
              <w:ind w:left="0" w:right="0"/>
              <w:jc w:val="left"/>
              <w:rPr>
                <w:rFonts w:hint="default" w:eastAsia="宋体"/>
                <w:kern w:val="0"/>
                <w:sz w:val="21"/>
                <w:szCs w:val="21"/>
                <w:lang w:val="en-US"/>
              </w:rPr>
            </w:pPr>
            <w:r>
              <w:rPr>
                <w:rFonts w:hint="eastAsia" w:ascii="Calibri" w:hAnsi="Calibri" w:eastAsia="宋体" w:cs="宋体"/>
                <w:kern w:val="0"/>
                <w:sz w:val="21"/>
                <w:szCs w:val="21"/>
                <w:lang w:val="en-US" w:eastAsia="zh-CN" w:bidi="ar"/>
              </w:rPr>
              <w:t>（</w:t>
            </w:r>
            <w:r>
              <w:rPr>
                <w:rFonts w:hint="default" w:ascii="Calibri" w:hAnsi="Calibri" w:eastAsia="宋体" w:cs="Times New Roman"/>
                <w:kern w:val="0"/>
                <w:sz w:val="21"/>
                <w:szCs w:val="21"/>
                <w:lang w:val="en-US" w:eastAsia="zh-CN" w:bidi="ar"/>
              </w:rPr>
              <w:t>40</w:t>
            </w:r>
            <w:r>
              <w:rPr>
                <w:rFonts w:hint="eastAsia" w:ascii="Calibri" w:hAnsi="Calibri" w:eastAsia="宋体" w:cs="宋体"/>
                <w:kern w:val="0"/>
                <w:sz w:val="21"/>
                <w:szCs w:val="21"/>
                <w:lang w:val="en-US" w:eastAsia="zh-CN" w:bidi="ar"/>
              </w:rPr>
              <w:t>分）</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p>
        </w:tc>
        <w:tc>
          <w:tcPr>
            <w:tcW w:w="10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预算</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管理</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1"/>
                <w:szCs w:val="21"/>
                <w:lang w:val="en-US" w:eastAsia="zh-CN" w:bidi="ar"/>
              </w:rPr>
              <w:t>（</w:t>
            </w:r>
            <w:r>
              <w:rPr>
                <w:rFonts w:hint="default" w:ascii="Calibri" w:hAnsi="Calibri" w:eastAsia="宋体" w:cs="Times New Roman"/>
                <w:kern w:val="0"/>
                <w:sz w:val="21"/>
                <w:szCs w:val="21"/>
                <w:lang w:val="en-US" w:eastAsia="zh-CN" w:bidi="ar"/>
              </w:rPr>
              <w:t>18</w:t>
            </w:r>
            <w:r>
              <w:rPr>
                <w:rFonts w:hint="eastAsia" w:ascii="Calibri" w:hAnsi="Calibri" w:eastAsia="宋体" w:cs="宋体"/>
                <w:kern w:val="0"/>
                <w:sz w:val="21"/>
                <w:szCs w:val="21"/>
                <w:lang w:val="en-US" w:eastAsia="zh-CN" w:bidi="ar"/>
              </w:rPr>
              <w:t>分）</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制度管理</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6</w:t>
            </w:r>
            <w:r>
              <w:rPr>
                <w:rFonts w:hint="eastAsia" w:ascii="Calibri" w:hAnsi="Calibri" w:eastAsia="宋体" w:cs="宋体"/>
                <w:kern w:val="0"/>
                <w:sz w:val="24"/>
                <w:szCs w:val="24"/>
                <w:lang w:val="en-US" w:eastAsia="zh-CN" w:bidi="ar"/>
              </w:rPr>
              <w:t>分）</w:t>
            </w:r>
          </w:p>
        </w:tc>
        <w:tc>
          <w:tcPr>
            <w:tcW w:w="43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部门为加强目标管理、预算管理、规范财务行为而制定的管理制度是否健全完整，反映部门预算管理制度对完成主要职责或促进事业发展的保障情况。</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、内部财务管理制度是否健全，是否具有或制定预算资金管理办法、</w:t>
            </w:r>
            <w:r>
              <w:rPr>
                <w:rFonts w:hint="eastAsia" w:ascii="Calibri" w:hAnsi="Calibri" w:eastAsia="宋体" w:cs="宋体"/>
                <w:kern w:val="2"/>
                <w:sz w:val="24"/>
                <w:szCs w:val="24"/>
                <w:lang w:val="en-US" w:eastAsia="zh-CN" w:bidi="ar"/>
              </w:rPr>
              <w:t>内部财务管理制度、会计核算制度、内部控制制度、项目管理制度等管理制度</w:t>
            </w:r>
            <w:r>
              <w:rPr>
                <w:rFonts w:hint="eastAsia" w:ascii="Calibri" w:hAnsi="Calibri" w:eastAsia="宋体" w:cs="宋体"/>
                <w:kern w:val="0"/>
                <w:sz w:val="24"/>
                <w:szCs w:val="24"/>
                <w:lang w:val="en-US" w:eastAsia="zh-CN" w:bidi="ar"/>
              </w:rPr>
              <w:t>；</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、相关制度是否合法、合规、完整；</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3</w:t>
            </w:r>
            <w:r>
              <w:rPr>
                <w:rFonts w:hint="eastAsia" w:ascii="Calibri" w:hAnsi="Calibri" w:eastAsia="宋体" w:cs="宋体"/>
                <w:kern w:val="0"/>
                <w:sz w:val="24"/>
                <w:szCs w:val="24"/>
                <w:lang w:val="en-US" w:eastAsia="zh-CN" w:bidi="ar"/>
              </w:rPr>
              <w:t>、相关制度是否得到有效执行；</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4</w:t>
            </w:r>
            <w:r>
              <w:rPr>
                <w:rFonts w:hint="eastAsia" w:ascii="Calibri" w:hAnsi="Calibri" w:eastAsia="宋体" w:cs="宋体"/>
                <w:kern w:val="0"/>
                <w:sz w:val="24"/>
                <w:szCs w:val="24"/>
                <w:lang w:val="en-US" w:eastAsia="zh-CN" w:bidi="ar"/>
              </w:rPr>
              <w:t>、制度执行机构是否健全；</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5</w:t>
            </w:r>
            <w:r>
              <w:rPr>
                <w:rFonts w:hint="eastAsia" w:ascii="Calibri" w:hAnsi="Calibri" w:eastAsia="宋体" w:cs="宋体"/>
                <w:kern w:val="0"/>
                <w:sz w:val="24"/>
                <w:szCs w:val="24"/>
                <w:lang w:val="en-US" w:eastAsia="zh-CN" w:bidi="ar"/>
              </w:rPr>
              <w:t>、是否建立有效的内部监督机制，机制运行是否有效。</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资金管理</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6</w:t>
            </w:r>
            <w:r>
              <w:rPr>
                <w:rFonts w:hint="eastAsia" w:ascii="Calibri" w:hAnsi="Calibri" w:eastAsia="宋体" w:cs="宋体"/>
                <w:kern w:val="0"/>
                <w:sz w:val="24"/>
                <w:szCs w:val="24"/>
                <w:lang w:val="en-US" w:eastAsia="zh-CN" w:bidi="ar"/>
              </w:rPr>
              <w:t>分）</w:t>
            </w:r>
          </w:p>
        </w:tc>
        <w:tc>
          <w:tcPr>
            <w:tcW w:w="43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部门使用预算资金是否符合相关的财务管理制度的规定，反映部门预算资金的规范运行情况。</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、资金的管理和使用是否符合财经法规和财务管理制度规定以及有关专项资金管理办法的规定；</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、资金使用是否符合预算批复的用途；</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3</w:t>
            </w:r>
            <w:r>
              <w:rPr>
                <w:rFonts w:hint="eastAsia" w:ascii="Calibri" w:hAnsi="Calibri" w:eastAsia="宋体" w:cs="宋体"/>
                <w:kern w:val="0"/>
                <w:sz w:val="24"/>
                <w:szCs w:val="24"/>
                <w:lang w:val="en-US" w:eastAsia="zh-CN" w:bidi="ar"/>
              </w:rPr>
              <w:t>、重大开支是否经过评估论证；</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4</w:t>
            </w:r>
            <w:r>
              <w:rPr>
                <w:rFonts w:hint="eastAsia" w:ascii="Calibri" w:hAnsi="Calibri" w:eastAsia="宋体" w:cs="宋体"/>
                <w:kern w:val="0"/>
                <w:sz w:val="24"/>
                <w:szCs w:val="24"/>
                <w:lang w:val="en-US" w:eastAsia="zh-CN" w:bidi="ar"/>
              </w:rPr>
              <w:t>、资金拨付是否程序规范、手续齐备；</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5</w:t>
            </w:r>
            <w:r>
              <w:rPr>
                <w:rFonts w:hint="eastAsia" w:ascii="Calibri" w:hAnsi="Calibri" w:eastAsia="宋体" w:cs="宋体"/>
                <w:kern w:val="0"/>
                <w:sz w:val="24"/>
                <w:szCs w:val="24"/>
                <w:lang w:val="en-US" w:eastAsia="zh-CN" w:bidi="ar"/>
              </w:rPr>
              <w:t>、是否存在截留、挤占、挪用、虚列支出等情况。</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default" w:eastAsia="宋体"/>
                <w:bCs/>
                <w:sz w:val="24"/>
                <w:szCs w:val="24"/>
                <w:lang w:val="en-US"/>
              </w:rPr>
            </w:pPr>
            <w:r>
              <w:rPr>
                <w:rFonts w:hint="eastAsia" w:ascii="Calibri" w:hAnsi="Calibri" w:eastAsia="宋体" w:cs="宋体"/>
                <w:bCs/>
                <w:kern w:val="2"/>
                <w:sz w:val="24"/>
                <w:szCs w:val="24"/>
                <w:lang w:val="en-US" w:eastAsia="zh-CN" w:bidi="ar"/>
              </w:rPr>
              <w:t>绩效管理</w:t>
            </w:r>
          </w:p>
          <w:p>
            <w:pPr>
              <w:keepNext w:val="0"/>
              <w:keepLines w:val="0"/>
              <w:widowControl w:val="0"/>
              <w:suppressLineNumbers w:val="0"/>
              <w:spacing w:before="0" w:beforeAutospacing="0" w:after="0" w:afterAutospacing="0" w:line="280" w:lineRule="exact"/>
              <w:ind w:left="0" w:right="0"/>
              <w:jc w:val="center"/>
              <w:rPr>
                <w:rFonts w:hint="default" w:eastAsia="宋体"/>
                <w:bCs/>
                <w:sz w:val="24"/>
                <w:szCs w:val="24"/>
                <w:lang w:val="en-US"/>
              </w:rPr>
            </w:pPr>
            <w:r>
              <w:rPr>
                <w:rFonts w:hint="eastAsia" w:ascii="Calibri" w:hAnsi="Calibri" w:eastAsia="宋体" w:cs="宋体"/>
                <w:bCs/>
                <w:kern w:val="2"/>
                <w:sz w:val="24"/>
                <w:szCs w:val="24"/>
                <w:lang w:val="en-US" w:eastAsia="zh-CN" w:bidi="ar"/>
              </w:rPr>
              <w:t>（</w:t>
            </w:r>
            <w:r>
              <w:rPr>
                <w:rFonts w:hint="default" w:ascii="Calibri" w:hAnsi="Calibri" w:eastAsia="宋体" w:cs="Times New Roman"/>
                <w:bCs/>
                <w:kern w:val="2"/>
                <w:sz w:val="24"/>
                <w:szCs w:val="24"/>
                <w:lang w:val="en-US" w:eastAsia="zh-CN" w:bidi="ar"/>
              </w:rPr>
              <w:t>4</w:t>
            </w:r>
            <w:r>
              <w:rPr>
                <w:rFonts w:hint="eastAsia" w:ascii="Calibri" w:hAnsi="Calibri" w:eastAsia="宋体" w:cs="宋体"/>
                <w:bCs/>
                <w:kern w:val="2"/>
                <w:sz w:val="24"/>
                <w:szCs w:val="24"/>
                <w:lang w:val="en-US" w:eastAsia="zh-CN" w:bidi="ar"/>
              </w:rPr>
              <w:t>分）</w:t>
            </w:r>
          </w:p>
        </w:tc>
        <w:tc>
          <w:tcPr>
            <w:tcW w:w="43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70" w:lineRule="exact"/>
              <w:ind w:left="0" w:right="0"/>
              <w:jc w:val="both"/>
              <w:rPr>
                <w:rFonts w:hint="default" w:eastAsia="宋体"/>
                <w:color w:val="FF0000"/>
                <w:kern w:val="0"/>
                <w:sz w:val="24"/>
                <w:szCs w:val="24"/>
                <w:lang w:val="en-US"/>
              </w:rPr>
            </w:pPr>
            <w:r>
              <w:rPr>
                <w:rFonts w:hint="eastAsia" w:ascii="Calibri" w:hAnsi="Calibri" w:eastAsia="宋体" w:cs="宋体"/>
                <w:kern w:val="2"/>
                <w:sz w:val="24"/>
                <w:szCs w:val="24"/>
                <w:lang w:val="en-US" w:eastAsia="zh-CN" w:bidi="ar"/>
              </w:rPr>
              <w:t>部门在预算管理过程中贯彻绩效理念采取的措施，用以反映和考核部门为提高财政性资金使用效益的努力程度。</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70" w:lineRule="exact"/>
              <w:ind w:left="0" w:right="0"/>
              <w:jc w:val="both"/>
              <w:rPr>
                <w:rFonts w:hint="default" w:eastAsia="宋体"/>
                <w:kern w:val="0"/>
                <w:sz w:val="24"/>
                <w:szCs w:val="24"/>
                <w:lang w:val="en-US"/>
              </w:rPr>
            </w:pP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、是否已制定或具有绩效管理制度；</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w:t>
            </w:r>
            <w:r>
              <w:rPr>
                <w:rFonts w:hint="eastAsia" w:ascii="Calibri" w:hAnsi="Calibri" w:eastAsia="宋体" w:cs="宋体"/>
                <w:kern w:val="2"/>
                <w:sz w:val="24"/>
                <w:szCs w:val="24"/>
                <w:lang w:val="en-US" w:eastAsia="zh-CN" w:bidi="ar"/>
              </w:rPr>
              <w:t>是否有绩效管理的职能部门和人员；</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、绩效管理制度是否有效落实；</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、是否按要求开展绩效管理工作。</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信息公开</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分）</w:t>
            </w:r>
          </w:p>
        </w:tc>
        <w:tc>
          <w:tcPr>
            <w:tcW w:w="43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基础信息是否完善，是否按照政府信息公开有关规定公开相关信息。</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w:t>
            </w:r>
            <w:r>
              <w:rPr>
                <w:rFonts w:hint="eastAsia" w:ascii="Calibri" w:hAnsi="Calibri" w:eastAsia="宋体" w:cs="宋体"/>
                <w:spacing w:val="-6"/>
                <w:kern w:val="0"/>
                <w:sz w:val="24"/>
                <w:szCs w:val="24"/>
                <w:lang w:val="en-US" w:eastAsia="zh-CN" w:bidi="ar"/>
              </w:rPr>
              <w:t>基础数据信息和会计信息资料是否真实、准确、完整；</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、是否按规定内容、规定时限公开预决算信息</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过程</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1"/>
                <w:szCs w:val="21"/>
                <w:lang w:val="en-US" w:eastAsia="zh-CN" w:bidi="ar"/>
              </w:rPr>
              <w:t>（</w:t>
            </w:r>
            <w:r>
              <w:rPr>
                <w:rFonts w:hint="default" w:ascii="Calibri" w:hAnsi="Calibri" w:eastAsia="宋体" w:cs="Times New Roman"/>
                <w:kern w:val="0"/>
                <w:sz w:val="21"/>
                <w:szCs w:val="21"/>
                <w:lang w:val="en-US" w:eastAsia="zh-CN" w:bidi="ar"/>
              </w:rPr>
              <w:t>40</w:t>
            </w:r>
            <w:r>
              <w:rPr>
                <w:rFonts w:hint="eastAsia" w:ascii="Calibri" w:hAnsi="Calibri" w:eastAsia="宋体" w:cs="宋体"/>
                <w:kern w:val="0"/>
                <w:sz w:val="21"/>
                <w:szCs w:val="21"/>
                <w:lang w:val="en-US" w:eastAsia="zh-CN" w:bidi="ar"/>
              </w:rPr>
              <w:t>分）</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p>
        </w:tc>
        <w:tc>
          <w:tcPr>
            <w:tcW w:w="10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资产</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管理</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1"/>
                <w:szCs w:val="21"/>
                <w:lang w:val="en-US" w:eastAsia="zh-CN" w:bidi="ar"/>
              </w:rPr>
              <w:t>（</w:t>
            </w:r>
            <w:r>
              <w:rPr>
                <w:rFonts w:hint="default" w:ascii="Calibri" w:hAnsi="Calibri" w:eastAsia="宋体" w:cs="Times New Roman"/>
                <w:kern w:val="0"/>
                <w:sz w:val="21"/>
                <w:szCs w:val="21"/>
                <w:lang w:val="en-US" w:eastAsia="zh-CN" w:bidi="ar"/>
              </w:rPr>
              <w:t>7</w:t>
            </w:r>
            <w:r>
              <w:rPr>
                <w:rFonts w:hint="eastAsia" w:ascii="Calibri" w:hAnsi="Calibri" w:eastAsia="宋体" w:cs="宋体"/>
                <w:kern w:val="0"/>
                <w:sz w:val="21"/>
                <w:szCs w:val="21"/>
                <w:lang w:val="en-US" w:eastAsia="zh-CN" w:bidi="ar"/>
              </w:rPr>
              <w:t>分）</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eastAsia="宋体"/>
                <w:sz w:val="24"/>
                <w:szCs w:val="24"/>
                <w:lang w:val="en-US"/>
              </w:rPr>
            </w:pPr>
            <w:r>
              <w:rPr>
                <w:rFonts w:hint="eastAsia" w:ascii="Calibri" w:hAnsi="Calibri" w:eastAsia="宋体" w:cs="宋体"/>
                <w:kern w:val="2"/>
                <w:sz w:val="24"/>
                <w:szCs w:val="24"/>
                <w:lang w:val="en-US" w:eastAsia="zh-CN" w:bidi="ar"/>
              </w:rPr>
              <w:t>制度</w:t>
            </w:r>
          </w:p>
          <w:p>
            <w:pPr>
              <w:keepNext w:val="0"/>
              <w:keepLines w:val="0"/>
              <w:widowControl w:val="0"/>
              <w:suppressLineNumbers w:val="0"/>
              <w:spacing w:before="0" w:beforeAutospacing="0" w:after="0" w:afterAutospacing="0" w:line="360" w:lineRule="exact"/>
              <w:ind w:left="0" w:right="0"/>
              <w:jc w:val="center"/>
              <w:rPr>
                <w:rFonts w:hint="default" w:eastAsia="宋体"/>
                <w:sz w:val="24"/>
                <w:szCs w:val="24"/>
                <w:lang w:val="en-US"/>
              </w:rPr>
            </w:pPr>
            <w:r>
              <w:rPr>
                <w:rFonts w:hint="eastAsia" w:ascii="Calibri" w:hAnsi="Calibri" w:eastAsia="宋体" w:cs="宋体"/>
                <w:kern w:val="2"/>
                <w:sz w:val="24"/>
                <w:szCs w:val="24"/>
                <w:lang w:val="en-US" w:eastAsia="zh-CN" w:bidi="ar"/>
              </w:rPr>
              <w:t>健全性</w:t>
            </w:r>
          </w:p>
          <w:p>
            <w:pPr>
              <w:keepNext w:val="0"/>
              <w:keepLines w:val="0"/>
              <w:widowControl w:val="0"/>
              <w:suppressLineNumbers w:val="0"/>
              <w:spacing w:before="0" w:beforeAutospacing="0" w:after="0" w:afterAutospacing="0" w:line="360" w:lineRule="exact"/>
              <w:ind w:left="0" w:right="0"/>
              <w:jc w:val="center"/>
              <w:rPr>
                <w:rFonts w:hint="default" w:eastAsia="宋体"/>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分）</w:t>
            </w:r>
          </w:p>
        </w:tc>
        <w:tc>
          <w:tcPr>
            <w:tcW w:w="43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70" w:lineRule="exact"/>
              <w:ind w:left="0" w:right="0"/>
              <w:jc w:val="both"/>
              <w:rPr>
                <w:rFonts w:hint="default" w:eastAsia="宋体"/>
                <w:kern w:val="0"/>
                <w:sz w:val="24"/>
                <w:szCs w:val="24"/>
                <w:lang w:val="en-US"/>
              </w:rPr>
            </w:pPr>
            <w:r>
              <w:rPr>
                <w:rFonts w:hint="eastAsia" w:ascii="Calibri" w:hAnsi="Calibri" w:eastAsia="宋体" w:cs="宋体"/>
                <w:kern w:val="2"/>
                <w:sz w:val="24"/>
                <w:szCs w:val="24"/>
                <w:lang w:val="en-US" w:eastAsia="zh-CN" w:bidi="ar"/>
              </w:rPr>
              <w:t>部门为加强资产管理、规范资产管理行为是否有健全完整的管理制度，反映部门资产管理制度对完成主要职责或促进社会发展的保障情况。</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70" w:lineRule="exact"/>
              <w:ind w:left="0" w:right="0"/>
              <w:jc w:val="both"/>
              <w:rPr>
                <w:rFonts w:hint="default" w:eastAsia="宋体"/>
                <w:kern w:val="0"/>
                <w:sz w:val="24"/>
                <w:szCs w:val="24"/>
                <w:lang w:val="en-US"/>
              </w:rPr>
            </w:pPr>
            <w:r>
              <w:rPr>
                <w:rFonts w:hint="default" w:ascii="Calibri" w:hAnsi="Calibri" w:eastAsia="宋体" w:cs="Times New Roman"/>
                <w:kern w:val="2"/>
                <w:sz w:val="24"/>
                <w:szCs w:val="24"/>
                <w:lang w:val="en-US" w:eastAsia="zh-CN" w:bidi="ar"/>
              </w:rPr>
              <w:t xml:space="preserve">1. </w:t>
            </w:r>
            <w:r>
              <w:rPr>
                <w:rFonts w:hint="eastAsia" w:ascii="Calibri" w:hAnsi="Calibri" w:eastAsia="宋体" w:cs="宋体"/>
                <w:kern w:val="2"/>
                <w:sz w:val="24"/>
                <w:szCs w:val="24"/>
                <w:lang w:val="en-US" w:eastAsia="zh-CN" w:bidi="ar"/>
              </w:rPr>
              <w:t>是否已制定或具有合法、合规、完整的资产管理制度；</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default" w:eastAsia="宋体"/>
                <w:kern w:val="0"/>
                <w:sz w:val="24"/>
                <w:szCs w:val="24"/>
                <w:lang w:val="en-US"/>
              </w:rPr>
            </w:pPr>
            <w:r>
              <w:rPr>
                <w:rFonts w:hint="default" w:ascii="Calibri" w:hAnsi="Calibri" w:eastAsia="宋体" w:cs="Times New Roman"/>
                <w:kern w:val="2"/>
                <w:sz w:val="24"/>
                <w:szCs w:val="24"/>
                <w:lang w:val="en-US" w:eastAsia="zh-CN" w:bidi="ar"/>
              </w:rPr>
              <w:t xml:space="preserve">2. </w:t>
            </w:r>
            <w:r>
              <w:rPr>
                <w:rFonts w:hint="eastAsia" w:ascii="Calibri" w:hAnsi="Calibri" w:eastAsia="宋体" w:cs="宋体"/>
                <w:kern w:val="2"/>
                <w:sz w:val="24"/>
                <w:szCs w:val="24"/>
                <w:lang w:val="en-US" w:eastAsia="zh-CN" w:bidi="ar"/>
              </w:rPr>
              <w:t>制度是否得到有效执行；</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资产管理安全性</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4</w:t>
            </w:r>
            <w:r>
              <w:rPr>
                <w:rFonts w:hint="eastAsia" w:ascii="Calibri" w:hAnsi="Calibri" w:eastAsia="宋体" w:cs="宋体"/>
                <w:kern w:val="0"/>
                <w:sz w:val="24"/>
                <w:szCs w:val="24"/>
                <w:lang w:val="en-US" w:eastAsia="zh-CN" w:bidi="ar"/>
              </w:rPr>
              <w:t>分）</w:t>
            </w:r>
          </w:p>
        </w:tc>
        <w:tc>
          <w:tcPr>
            <w:tcW w:w="43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资产管理制度是否健全完整，资产是否保存完整、使用合规、配置合理、处置规范、收入及时足额上缴。</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w:t>
            </w:r>
            <w:r>
              <w:rPr>
                <w:rFonts w:hint="eastAsia" w:ascii="Calibri" w:hAnsi="Calibri" w:eastAsia="宋体" w:cs="宋体"/>
                <w:kern w:val="2"/>
                <w:sz w:val="24"/>
                <w:szCs w:val="24"/>
                <w:lang w:val="en-US" w:eastAsia="zh-CN" w:bidi="ar"/>
              </w:rPr>
              <w:t>资产账务管理是否合法合规，保存是否完整，是否账实相符；</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default" w:eastAsia="宋体"/>
                <w:kern w:val="0"/>
                <w:sz w:val="24"/>
                <w:szCs w:val="24"/>
                <w:lang w:val="en-US"/>
              </w:rPr>
            </w:pPr>
            <w:r>
              <w:rPr>
                <w:rFonts w:hint="default" w:ascii="Calibri" w:hAnsi="Calibri" w:eastAsia="宋体" w:cs="Times New Roman"/>
                <w:bCs/>
                <w:kern w:val="2"/>
                <w:sz w:val="24"/>
                <w:szCs w:val="24"/>
                <w:lang w:val="en-US" w:eastAsia="zh-CN" w:bidi="ar"/>
              </w:rPr>
              <w:t>2</w:t>
            </w:r>
            <w:r>
              <w:rPr>
                <w:rFonts w:hint="eastAsia" w:ascii="Calibri" w:hAnsi="Calibri" w:eastAsia="宋体" w:cs="宋体"/>
                <w:bCs/>
                <w:kern w:val="2"/>
                <w:sz w:val="24"/>
                <w:szCs w:val="24"/>
                <w:lang w:val="en-US" w:eastAsia="zh-CN" w:bidi="ar"/>
              </w:rPr>
              <w:t>、资产是否及时登记入资产管理系统，资产管理统与账务系统是否按时对账，两账相符；</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default" w:eastAsia="宋体"/>
                <w:kern w:val="0"/>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3</w:t>
            </w:r>
            <w:r>
              <w:rPr>
                <w:rFonts w:hint="eastAsia" w:ascii="Calibri" w:hAnsi="Calibri" w:eastAsia="宋体" w:cs="宋体"/>
                <w:kern w:val="0"/>
                <w:sz w:val="24"/>
                <w:szCs w:val="24"/>
                <w:lang w:val="en-US" w:eastAsia="zh-CN" w:bidi="ar"/>
              </w:rPr>
              <w:t>、</w:t>
            </w:r>
            <w:r>
              <w:rPr>
                <w:rFonts w:hint="eastAsia" w:ascii="Calibri" w:hAnsi="Calibri" w:eastAsia="宋体" w:cs="宋体"/>
                <w:kern w:val="2"/>
                <w:sz w:val="24"/>
                <w:szCs w:val="24"/>
                <w:lang w:val="en-US" w:eastAsia="zh-CN" w:bidi="ar"/>
              </w:rPr>
              <w:t>资产配置是否合理，是否得到有效利用；</w:t>
            </w:r>
            <w:r>
              <w:rPr>
                <w:rFonts w:hint="default" w:ascii="Calibri" w:hAnsi="Calibri" w:eastAsia="宋体" w:cs="Times New Roman"/>
                <w:kern w:val="2"/>
                <w:sz w:val="24"/>
                <w:szCs w:val="24"/>
                <w:lang w:val="en-US" w:eastAsia="zh-CN" w:bidi="ar"/>
              </w:rPr>
              <w:t xml:space="preserve"> </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default" w:eastAsia="宋体"/>
                <w:kern w:val="0"/>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default" w:eastAsia="宋体"/>
                <w:kern w:val="0"/>
                <w:sz w:val="24"/>
                <w:szCs w:val="24"/>
                <w:lang w:val="en-US"/>
              </w:rPr>
            </w:pPr>
            <w:r>
              <w:rPr>
                <w:rFonts w:hint="default" w:ascii="Calibri" w:hAnsi="Calibri" w:eastAsia="宋体" w:cs="Times New Roman"/>
                <w:kern w:val="0"/>
                <w:sz w:val="24"/>
                <w:szCs w:val="24"/>
                <w:lang w:val="en-US" w:eastAsia="zh-CN" w:bidi="ar"/>
              </w:rPr>
              <w:t>4</w:t>
            </w:r>
            <w:r>
              <w:rPr>
                <w:rFonts w:hint="eastAsia" w:ascii="Calibri" w:hAnsi="Calibri" w:eastAsia="宋体" w:cs="宋体"/>
                <w:kern w:val="0"/>
                <w:sz w:val="24"/>
                <w:szCs w:val="24"/>
                <w:lang w:val="en-US" w:eastAsia="zh-CN" w:bidi="ar"/>
              </w:rPr>
              <w:t>、</w:t>
            </w:r>
            <w:r>
              <w:rPr>
                <w:rFonts w:hint="eastAsia" w:ascii="Calibri" w:hAnsi="Calibri" w:eastAsia="宋体" w:cs="宋体"/>
                <w:kern w:val="2"/>
                <w:sz w:val="24"/>
                <w:szCs w:val="24"/>
                <w:lang w:val="en-US" w:eastAsia="zh-CN" w:bidi="ar"/>
              </w:rPr>
              <w:t>资产处置是否规范，处置收入及时足额上缴。</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default" w:eastAsia="宋体"/>
                <w:kern w:val="0"/>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固定资产利用率</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部门实际在用固定资产总额与所有固定资产总额的比率，反映部门固定资产使用效率程度</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固定资产利用率</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（实际在用固定资产总额</w:t>
            </w:r>
            <w:r>
              <w:rPr>
                <w:rFonts w:hint="default" w:ascii="Calibri" w:hAnsi="Calibri" w:eastAsia="宋体" w:cs="Times New Roman"/>
                <w:b/>
                <w:kern w:val="0"/>
                <w:sz w:val="24"/>
                <w:szCs w:val="24"/>
                <w:lang w:val="en-US" w:eastAsia="zh-CN" w:bidi="ar"/>
              </w:rPr>
              <w:t>/</w:t>
            </w:r>
            <w:r>
              <w:rPr>
                <w:rFonts w:hint="eastAsia" w:ascii="Calibri" w:hAnsi="Calibri" w:eastAsia="宋体" w:cs="宋体"/>
                <w:kern w:val="0"/>
                <w:sz w:val="24"/>
                <w:szCs w:val="24"/>
                <w:lang w:val="en-US" w:eastAsia="zh-CN" w:bidi="ar"/>
              </w:rPr>
              <w:t>所有固定资产总额）</w:t>
            </w:r>
            <w:r>
              <w:rPr>
                <w:rFonts w:hint="default" w:ascii="Calibri" w:hAnsi="Calibri" w:eastAsia="宋体" w:cs="Times New Roman"/>
                <w:kern w:val="0"/>
                <w:sz w:val="24"/>
                <w:szCs w:val="24"/>
                <w:lang w:val="en-US" w:eastAsia="zh-CN" w:bidi="ar"/>
              </w:rPr>
              <w:t>×100%</w:t>
            </w:r>
            <w:r>
              <w:rPr>
                <w:rFonts w:hint="eastAsia" w:ascii="Calibri" w:hAnsi="Calibri" w:eastAsia="宋体" w:cs="宋体"/>
                <w:kern w:val="0"/>
                <w:sz w:val="24"/>
                <w:szCs w:val="24"/>
                <w:lang w:val="en-US" w:eastAsia="zh-CN" w:bidi="ar"/>
              </w:rPr>
              <w:t>。利用较好的计满分，利用不好的视情扣分。</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0.8</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5" w:hRule="atLeast"/>
          <w:jc w:val="center"/>
        </w:trPr>
        <w:tc>
          <w:tcPr>
            <w:tcW w:w="1031"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产出</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1"/>
                <w:szCs w:val="21"/>
                <w:lang w:val="en-US" w:eastAsia="zh-CN" w:bidi="ar"/>
              </w:rPr>
              <w:t>（</w:t>
            </w:r>
            <w:r>
              <w:rPr>
                <w:rFonts w:hint="default" w:ascii="Calibri" w:hAnsi="Calibri" w:eastAsia="宋体" w:cs="Times New Roman"/>
                <w:kern w:val="0"/>
                <w:sz w:val="21"/>
                <w:szCs w:val="21"/>
                <w:lang w:val="en-US" w:eastAsia="zh-CN" w:bidi="ar"/>
              </w:rPr>
              <w:t>20</w:t>
            </w:r>
            <w:r>
              <w:rPr>
                <w:rFonts w:hint="eastAsia" w:ascii="Calibri" w:hAnsi="Calibri" w:eastAsia="宋体" w:cs="宋体"/>
                <w:kern w:val="0"/>
                <w:sz w:val="21"/>
                <w:szCs w:val="21"/>
                <w:lang w:val="en-US" w:eastAsia="zh-CN" w:bidi="ar"/>
              </w:rPr>
              <w:t>分）</w:t>
            </w:r>
          </w:p>
        </w:tc>
        <w:tc>
          <w:tcPr>
            <w:tcW w:w="10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职责</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履行</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宋体"/>
                <w:kern w:val="0"/>
                <w:sz w:val="21"/>
                <w:szCs w:val="21"/>
                <w:lang w:val="en-US" w:eastAsia="zh-CN" w:bidi="ar"/>
              </w:rPr>
              <w:t>（</w:t>
            </w:r>
            <w:r>
              <w:rPr>
                <w:rFonts w:hint="default" w:ascii="Calibri" w:hAnsi="Calibri" w:eastAsia="宋体" w:cs="Times New Roman"/>
                <w:kern w:val="0"/>
                <w:sz w:val="21"/>
                <w:szCs w:val="21"/>
                <w:lang w:val="en-US" w:eastAsia="zh-CN" w:bidi="ar"/>
              </w:rPr>
              <w:t>20</w:t>
            </w:r>
            <w:r>
              <w:rPr>
                <w:rFonts w:hint="eastAsia" w:ascii="Calibri" w:hAnsi="Calibri" w:eastAsia="宋体" w:cs="宋体"/>
                <w:kern w:val="0"/>
                <w:sz w:val="21"/>
                <w:szCs w:val="21"/>
                <w:lang w:val="en-US" w:eastAsia="zh-CN" w:bidi="ar"/>
              </w:rPr>
              <w:t>分）</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实际</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完成率</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5</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部门履行职责而实际完成工作数与计划工作数的比率。</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实际完成率</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（年度或规划期内实际完成工作任务数</w:t>
            </w:r>
            <w:r>
              <w:rPr>
                <w:rFonts w:hint="default" w:ascii="Calibri" w:hAnsi="Calibri" w:eastAsia="宋体" w:cs="Times New Roman"/>
                <w:b/>
                <w:kern w:val="0"/>
                <w:sz w:val="24"/>
                <w:szCs w:val="24"/>
                <w:lang w:val="en-US" w:eastAsia="zh-CN" w:bidi="ar"/>
              </w:rPr>
              <w:t>/</w:t>
            </w:r>
            <w:r>
              <w:rPr>
                <w:rFonts w:hint="eastAsia" w:ascii="Calibri" w:hAnsi="Calibri" w:eastAsia="宋体" w:cs="宋体"/>
                <w:kern w:val="0"/>
                <w:sz w:val="24"/>
                <w:szCs w:val="24"/>
                <w:lang w:val="en-US" w:eastAsia="zh-CN" w:bidi="ar"/>
              </w:rPr>
              <w:t>计划工作数）</w:t>
            </w:r>
            <w:r>
              <w:rPr>
                <w:rFonts w:hint="default" w:ascii="Calibri" w:hAnsi="Calibri" w:eastAsia="宋体" w:cs="Times New Roman"/>
                <w:kern w:val="0"/>
                <w:sz w:val="24"/>
                <w:szCs w:val="24"/>
                <w:lang w:val="en-US" w:eastAsia="zh-CN" w:bidi="ar"/>
              </w:rPr>
              <w:t>×100%</w:t>
            </w:r>
            <w:r>
              <w:rPr>
                <w:rFonts w:hint="eastAsia" w:ascii="Calibri" w:hAnsi="Calibri" w:eastAsia="宋体" w:cs="宋体"/>
                <w:kern w:val="0"/>
                <w:sz w:val="24"/>
                <w:szCs w:val="24"/>
                <w:lang w:val="en-US" w:eastAsia="zh-CN" w:bidi="ar"/>
              </w:rPr>
              <w:t>。按比例计分。</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5</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5</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完成</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及时率</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5</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部门在规定时限内及时完成的实际工作数与计划工作数的比率。</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完成及时率</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（及时完成实际工作数</w:t>
            </w:r>
            <w:r>
              <w:rPr>
                <w:rFonts w:hint="default" w:ascii="Calibri" w:hAnsi="Calibri" w:eastAsia="宋体" w:cs="Times New Roman"/>
                <w:b/>
                <w:kern w:val="0"/>
                <w:sz w:val="24"/>
                <w:szCs w:val="24"/>
                <w:lang w:val="en-US" w:eastAsia="zh-CN" w:bidi="ar"/>
              </w:rPr>
              <w:t>/</w:t>
            </w:r>
            <w:r>
              <w:rPr>
                <w:rFonts w:hint="eastAsia" w:ascii="Calibri" w:hAnsi="Calibri" w:eastAsia="宋体" w:cs="宋体"/>
                <w:kern w:val="0"/>
                <w:sz w:val="24"/>
                <w:szCs w:val="24"/>
                <w:lang w:val="en-US" w:eastAsia="zh-CN" w:bidi="ar"/>
              </w:rPr>
              <w:t>计划工作数）</w:t>
            </w:r>
            <w:r>
              <w:rPr>
                <w:rFonts w:hint="default" w:ascii="Calibri" w:hAnsi="Calibri" w:eastAsia="宋体" w:cs="Times New Roman"/>
                <w:kern w:val="0"/>
                <w:sz w:val="24"/>
                <w:szCs w:val="24"/>
                <w:lang w:val="en-US" w:eastAsia="zh-CN" w:bidi="ar"/>
              </w:rPr>
              <w:t>×100%</w:t>
            </w:r>
            <w:r>
              <w:rPr>
                <w:rFonts w:hint="eastAsia" w:ascii="Calibri" w:hAnsi="Calibri" w:eastAsia="宋体" w:cs="宋体"/>
                <w:kern w:val="0"/>
                <w:sz w:val="24"/>
                <w:szCs w:val="24"/>
                <w:lang w:val="en-US" w:eastAsia="zh-CN" w:bidi="ar"/>
              </w:rPr>
              <w:t>。按比例计分。</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5</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Times New Roman"/>
                <w:kern w:val="0"/>
                <w:sz w:val="24"/>
                <w:szCs w:val="24"/>
                <w:lang w:val="en-US" w:eastAsia="zh-CN" w:bidi="ar"/>
              </w:rPr>
              <w:t>4</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质量</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达标率</w:t>
            </w:r>
            <w:r>
              <w:rPr>
                <w:rFonts w:hint="default" w:ascii="Calibri" w:hAnsi="Calibri" w:eastAsia="宋体" w:cs="Times New Roman"/>
                <w:kern w:val="0"/>
                <w:sz w:val="24"/>
                <w:szCs w:val="24"/>
                <w:lang w:val="en-US" w:eastAsia="zh-CN" w:bidi="ar"/>
              </w:rPr>
              <w:t xml:space="preserve"> </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5</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达到质量标准（绩效标准值）的实际工作数与计划工作数的比率。</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质量达标率</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（质量达标实际工作数</w:t>
            </w:r>
            <w:r>
              <w:rPr>
                <w:rFonts w:hint="default" w:ascii="Calibri" w:hAnsi="Calibri" w:eastAsia="宋体" w:cs="Times New Roman"/>
                <w:b/>
                <w:kern w:val="0"/>
                <w:sz w:val="24"/>
                <w:szCs w:val="24"/>
                <w:lang w:val="en-US" w:eastAsia="zh-CN" w:bidi="ar"/>
              </w:rPr>
              <w:t>/</w:t>
            </w:r>
            <w:r>
              <w:rPr>
                <w:rFonts w:hint="eastAsia" w:ascii="Calibri" w:hAnsi="Calibri" w:eastAsia="宋体" w:cs="宋体"/>
                <w:kern w:val="0"/>
                <w:sz w:val="24"/>
                <w:szCs w:val="24"/>
                <w:lang w:val="en-US" w:eastAsia="zh-CN" w:bidi="ar"/>
              </w:rPr>
              <w:t>计划工作数）</w:t>
            </w:r>
            <w:r>
              <w:rPr>
                <w:rFonts w:hint="default" w:ascii="Calibri" w:hAnsi="Calibri" w:eastAsia="宋体" w:cs="Times New Roman"/>
                <w:kern w:val="0"/>
                <w:sz w:val="24"/>
                <w:szCs w:val="24"/>
                <w:lang w:val="en-US" w:eastAsia="zh-CN" w:bidi="ar"/>
              </w:rPr>
              <w:t>×100%</w:t>
            </w:r>
            <w:r>
              <w:rPr>
                <w:rFonts w:hint="eastAsia" w:ascii="Calibri" w:hAnsi="Calibri" w:eastAsia="宋体" w:cs="宋体"/>
                <w:kern w:val="0"/>
                <w:sz w:val="24"/>
                <w:szCs w:val="24"/>
                <w:lang w:val="en-US" w:eastAsia="zh-CN" w:bidi="ar"/>
              </w:rPr>
              <w:t>。按比例计分。</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5</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Times New Roman"/>
                <w:kern w:val="0"/>
                <w:sz w:val="24"/>
                <w:szCs w:val="24"/>
                <w:lang w:val="en-US" w:eastAsia="zh-CN" w:bidi="ar"/>
              </w:rPr>
              <w:t>4</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产出</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1"/>
                <w:szCs w:val="21"/>
                <w:lang w:val="en-US" w:eastAsia="zh-CN" w:bidi="ar"/>
              </w:rPr>
              <w:t>（</w:t>
            </w:r>
            <w:r>
              <w:rPr>
                <w:rFonts w:hint="default" w:ascii="Calibri" w:hAnsi="Calibri" w:eastAsia="宋体" w:cs="Times New Roman"/>
                <w:kern w:val="0"/>
                <w:sz w:val="21"/>
                <w:szCs w:val="21"/>
                <w:lang w:val="en-US" w:eastAsia="zh-CN" w:bidi="ar"/>
              </w:rPr>
              <w:t>20</w:t>
            </w:r>
            <w:r>
              <w:rPr>
                <w:rFonts w:hint="eastAsia" w:ascii="Calibri" w:hAnsi="Calibri" w:eastAsia="宋体" w:cs="宋体"/>
                <w:kern w:val="0"/>
                <w:sz w:val="21"/>
                <w:szCs w:val="21"/>
                <w:lang w:val="en-US" w:eastAsia="zh-CN" w:bidi="ar"/>
              </w:rPr>
              <w:t>分）</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职责</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履行</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宋体"/>
                <w:kern w:val="0"/>
                <w:sz w:val="21"/>
                <w:szCs w:val="21"/>
                <w:lang w:val="en-US" w:eastAsia="zh-CN" w:bidi="ar"/>
              </w:rPr>
              <w:t>（</w:t>
            </w:r>
            <w:r>
              <w:rPr>
                <w:rFonts w:hint="default" w:ascii="Calibri" w:hAnsi="Calibri" w:eastAsia="宋体" w:cs="Times New Roman"/>
                <w:kern w:val="0"/>
                <w:sz w:val="21"/>
                <w:szCs w:val="21"/>
                <w:lang w:val="en-US" w:eastAsia="zh-CN" w:bidi="ar"/>
              </w:rPr>
              <w:t>20</w:t>
            </w:r>
            <w:r>
              <w:rPr>
                <w:rFonts w:hint="eastAsia" w:ascii="Calibri" w:hAnsi="Calibri" w:eastAsia="宋体" w:cs="宋体"/>
                <w:kern w:val="0"/>
                <w:sz w:val="21"/>
                <w:szCs w:val="21"/>
                <w:lang w:val="en-US" w:eastAsia="zh-CN" w:bidi="ar"/>
              </w:rPr>
              <w:t>分）</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重点工作办结率</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5</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部门年度重点工作实际完成数与计划数的比率。</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重点工作办结率</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（重点工作实际完成数</w:t>
            </w:r>
            <w:r>
              <w:rPr>
                <w:rFonts w:hint="default" w:ascii="Calibri" w:hAnsi="Calibri" w:eastAsia="宋体" w:cs="Times New Roman"/>
                <w:b/>
                <w:kern w:val="0"/>
                <w:sz w:val="24"/>
                <w:szCs w:val="24"/>
                <w:lang w:val="en-US" w:eastAsia="zh-CN" w:bidi="ar"/>
              </w:rPr>
              <w:t>/</w:t>
            </w:r>
            <w:r>
              <w:rPr>
                <w:rFonts w:hint="eastAsia" w:ascii="Calibri" w:hAnsi="Calibri" w:eastAsia="宋体" w:cs="宋体"/>
                <w:kern w:val="0"/>
                <w:sz w:val="24"/>
                <w:szCs w:val="24"/>
                <w:lang w:val="en-US" w:eastAsia="zh-CN" w:bidi="ar"/>
              </w:rPr>
              <w:t>交办或下达数）</w:t>
            </w:r>
            <w:r>
              <w:rPr>
                <w:rFonts w:hint="default" w:ascii="Calibri" w:hAnsi="Calibri" w:eastAsia="宋体" w:cs="Times New Roman"/>
                <w:kern w:val="0"/>
                <w:sz w:val="24"/>
                <w:szCs w:val="24"/>
                <w:lang w:val="en-US" w:eastAsia="zh-CN" w:bidi="ar"/>
              </w:rPr>
              <w:t>×100%</w:t>
            </w:r>
            <w:r>
              <w:rPr>
                <w:rFonts w:hint="eastAsia" w:ascii="Calibri" w:hAnsi="Calibri" w:eastAsia="宋体" w:cs="宋体"/>
                <w:kern w:val="0"/>
                <w:sz w:val="24"/>
                <w:szCs w:val="24"/>
                <w:lang w:val="en-US" w:eastAsia="zh-CN" w:bidi="ar"/>
              </w:rPr>
              <w:t>。按比例计分。</w:t>
            </w:r>
            <w:r>
              <w:rPr>
                <w:rFonts w:hint="eastAsia" w:ascii="Calibri" w:hAnsi="Calibri" w:eastAsia="宋体" w:cs="宋体"/>
                <w:kern w:val="2"/>
                <w:sz w:val="24"/>
                <w:szCs w:val="24"/>
                <w:lang w:val="en-US" w:eastAsia="zh-CN" w:bidi="ar"/>
              </w:rPr>
              <w:t>重点工作是指党委、政府、人大、相关部门交办或下达的工作任务。</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5</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5</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效果</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1"/>
                <w:szCs w:val="21"/>
                <w:lang w:val="en-US" w:eastAsia="zh-CN" w:bidi="ar"/>
              </w:rPr>
              <w:t>（</w:t>
            </w:r>
            <w:r>
              <w:rPr>
                <w:rFonts w:hint="default" w:ascii="Calibri" w:hAnsi="Calibri" w:eastAsia="宋体" w:cs="Times New Roman"/>
                <w:kern w:val="0"/>
                <w:sz w:val="21"/>
                <w:szCs w:val="21"/>
                <w:lang w:val="en-US" w:eastAsia="zh-CN" w:bidi="ar"/>
              </w:rPr>
              <w:t>20</w:t>
            </w:r>
            <w:r>
              <w:rPr>
                <w:rFonts w:hint="eastAsia" w:ascii="Calibri" w:hAnsi="Calibri" w:eastAsia="宋体" w:cs="宋体"/>
                <w:kern w:val="0"/>
                <w:sz w:val="21"/>
                <w:szCs w:val="21"/>
                <w:lang w:val="en-US" w:eastAsia="zh-CN" w:bidi="ar"/>
              </w:rPr>
              <w:t>分）</w:t>
            </w:r>
          </w:p>
        </w:tc>
        <w:tc>
          <w:tcPr>
            <w:tcW w:w="10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履职</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效益</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1"/>
                <w:szCs w:val="21"/>
                <w:lang w:val="en-US" w:eastAsia="zh-CN" w:bidi="ar"/>
              </w:rPr>
              <w:t>（</w:t>
            </w:r>
            <w:r>
              <w:rPr>
                <w:rFonts w:hint="default" w:ascii="Calibri" w:hAnsi="Calibri" w:eastAsia="宋体" w:cs="Times New Roman"/>
                <w:kern w:val="0"/>
                <w:sz w:val="21"/>
                <w:szCs w:val="21"/>
                <w:lang w:val="en-US" w:eastAsia="zh-CN" w:bidi="ar"/>
              </w:rPr>
              <w:t>20</w:t>
            </w:r>
            <w:r>
              <w:rPr>
                <w:rFonts w:hint="eastAsia" w:ascii="Calibri" w:hAnsi="Calibri" w:eastAsia="宋体" w:cs="宋体"/>
                <w:kern w:val="0"/>
                <w:sz w:val="21"/>
                <w:szCs w:val="21"/>
                <w:lang w:val="en-US" w:eastAsia="zh-CN" w:bidi="ar"/>
              </w:rPr>
              <w:t>分）</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经济效益</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5</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部门履行职责对经济发展所带来的直接或间接影响。</w:t>
            </w:r>
          </w:p>
        </w:tc>
        <w:tc>
          <w:tcPr>
            <w:tcW w:w="58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此三项指标可根据部门实际并结合部门整体支出绩效目标设立情况有选择的进行设置，将其细化为相应的个性化指标进行评价评分。</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5</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4</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社会效益</w:t>
            </w:r>
            <w:r>
              <w:rPr>
                <w:rFonts w:hint="default" w:ascii="Calibri" w:hAnsi="Calibri" w:eastAsia="宋体" w:cs="Times New Roman"/>
                <w:kern w:val="0"/>
                <w:sz w:val="24"/>
                <w:szCs w:val="24"/>
                <w:lang w:val="en-US" w:eastAsia="zh-CN" w:bidi="ar"/>
              </w:rPr>
              <w:t xml:space="preserve"> </w:t>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5</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部门履行职责对社会发展所带来的直接或间接影响。</w:t>
            </w:r>
          </w:p>
        </w:tc>
        <w:tc>
          <w:tcPr>
            <w:tcW w:w="5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5</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Times New Roman"/>
                <w:kern w:val="0"/>
                <w:sz w:val="24"/>
                <w:szCs w:val="24"/>
                <w:lang w:val="en-US" w:eastAsia="zh-CN" w:bidi="ar"/>
              </w:rPr>
              <w:t>4</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生态效益</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5</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部门履行职责对生态环境所带来的直接或间接影响。</w:t>
            </w:r>
          </w:p>
        </w:tc>
        <w:tc>
          <w:tcPr>
            <w:tcW w:w="5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5</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4</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03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eastAsia" w:ascii="Calibri" w:hAnsi="Calibri" w:eastAsia="宋体" w:cs="宋体"/>
                <w:kern w:val="0"/>
                <w:sz w:val="24"/>
                <w:szCs w:val="24"/>
                <w:lang w:val="en-US" w:eastAsia="zh-CN" w:bidi="ar"/>
              </w:rPr>
              <w:t>服务对象满意度</w:t>
            </w:r>
            <w:r>
              <w:rPr>
                <w:rFonts w:hint="default" w:ascii="Calibri" w:hAnsi="Calibri" w:eastAsia="宋体" w:cs="Times New Roman"/>
                <w:kern w:val="0"/>
                <w:sz w:val="24"/>
                <w:szCs w:val="24"/>
                <w:lang w:val="en-US" w:eastAsia="zh-CN" w:bidi="ar"/>
              </w:rPr>
              <w:br w:type="textWrapping"/>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5</w:t>
            </w:r>
            <w:r>
              <w:rPr>
                <w:rFonts w:hint="eastAsia" w:ascii="Calibri" w:hAnsi="Calibri" w:eastAsia="宋体" w:cs="宋体"/>
                <w:kern w:val="0"/>
                <w:sz w:val="24"/>
                <w:szCs w:val="24"/>
                <w:lang w:val="en-US" w:eastAsia="zh-CN" w:bidi="ar"/>
              </w:rPr>
              <w:t>分）</w:t>
            </w:r>
          </w:p>
        </w:tc>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社会公众或服务对象对部门履职效果的满意程度</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default" w:eastAsia="宋体"/>
                <w:kern w:val="0"/>
                <w:sz w:val="24"/>
                <w:szCs w:val="24"/>
                <w:lang w:val="en-US"/>
              </w:rPr>
            </w:pPr>
            <w:r>
              <w:rPr>
                <w:rFonts w:hint="eastAsia" w:ascii="Calibri" w:hAnsi="Calibri" w:eastAsia="宋体" w:cs="宋体"/>
                <w:kern w:val="0"/>
                <w:sz w:val="24"/>
                <w:szCs w:val="24"/>
                <w:lang w:val="en-US" w:eastAsia="zh-CN" w:bidi="ar"/>
              </w:rPr>
              <w:t>部门履行职责而影响到的部门、群体或个人等社会公众或服务对象对部门完成工作或提供的服务是否满意。</w:t>
            </w:r>
          </w:p>
        </w:tc>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5</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5</w:t>
            </w:r>
          </w:p>
        </w:tc>
        <w:tc>
          <w:tcPr>
            <w:tcW w:w="760"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3746" w:type="dxa"/>
            <w:gridSpan w:val="5"/>
            <w:tcBorders>
              <w:top w:val="single" w:color="auto" w:sz="4" w:space="0"/>
              <w:left w:val="single" w:color="auto" w:sz="12"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b/>
                <w:kern w:val="0"/>
                <w:sz w:val="24"/>
                <w:szCs w:val="24"/>
                <w:lang w:val="en-US"/>
              </w:rPr>
            </w:pPr>
            <w:r>
              <w:rPr>
                <w:rFonts w:hint="eastAsia" w:ascii="Calibri" w:hAnsi="Calibri" w:eastAsia="宋体" w:cs="宋体"/>
                <w:b/>
                <w:kern w:val="0"/>
                <w:sz w:val="24"/>
                <w:szCs w:val="24"/>
                <w:lang w:val="en-US" w:eastAsia="zh-CN" w:bidi="ar"/>
              </w:rPr>
              <w:t>总</w:t>
            </w:r>
            <w:r>
              <w:rPr>
                <w:rFonts w:hint="default" w:ascii="Calibri" w:hAnsi="Calibri" w:eastAsia="宋体" w:cs="Times New Roman"/>
                <w:b/>
                <w:kern w:val="0"/>
                <w:sz w:val="24"/>
                <w:szCs w:val="24"/>
                <w:lang w:val="en-US" w:eastAsia="zh-CN" w:bidi="ar"/>
              </w:rPr>
              <w:t xml:space="preserve">  </w:t>
            </w:r>
            <w:r>
              <w:rPr>
                <w:rFonts w:hint="eastAsia" w:ascii="Calibri" w:hAnsi="Calibri" w:eastAsia="宋体" w:cs="宋体"/>
                <w:b/>
                <w:kern w:val="0"/>
                <w:sz w:val="24"/>
                <w:szCs w:val="24"/>
                <w:lang w:val="en-US" w:eastAsia="zh-CN" w:bidi="ar"/>
              </w:rPr>
              <w:t>分</w:t>
            </w:r>
          </w:p>
        </w:tc>
        <w:tc>
          <w:tcPr>
            <w:tcW w:w="508"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100</w:t>
            </w:r>
          </w:p>
        </w:tc>
        <w:tc>
          <w:tcPr>
            <w:tcW w:w="752"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lang w:val="en-US"/>
              </w:rPr>
            </w:pPr>
            <w:r>
              <w:rPr>
                <w:rFonts w:hint="default" w:ascii="Calibri" w:hAnsi="Calibri" w:eastAsia="宋体" w:cs="Times New Roman"/>
                <w:kern w:val="0"/>
                <w:sz w:val="24"/>
                <w:szCs w:val="24"/>
                <w:lang w:val="en-US" w:eastAsia="zh-CN" w:bidi="ar"/>
              </w:rPr>
              <w:t>9</w:t>
            </w:r>
            <w:r>
              <w:rPr>
                <w:rFonts w:hint="eastAsia" w:ascii="Calibri" w:hAnsi="Calibri" w:eastAsia="宋体" w:cs="Times New Roman"/>
                <w:kern w:val="0"/>
                <w:sz w:val="24"/>
                <w:szCs w:val="24"/>
                <w:lang w:val="en-US" w:eastAsia="zh-CN" w:bidi="ar"/>
              </w:rPr>
              <w:t>2</w:t>
            </w:r>
            <w:r>
              <w:rPr>
                <w:rFonts w:hint="default" w:ascii="Calibri" w:hAnsi="Calibri" w:eastAsia="宋体" w:cs="Times New Roman"/>
                <w:kern w:val="0"/>
                <w:sz w:val="24"/>
                <w:szCs w:val="24"/>
                <w:lang w:val="en-US" w:eastAsia="zh-CN" w:bidi="ar"/>
              </w:rPr>
              <w:t>.80</w:t>
            </w:r>
          </w:p>
        </w:tc>
        <w:tc>
          <w:tcPr>
            <w:tcW w:w="760" w:type="dxa"/>
            <w:tcBorders>
              <w:top w:val="single" w:color="auto" w:sz="4" w:space="0"/>
              <w:left w:val="single" w:color="auto" w:sz="4" w:space="0"/>
              <w:bottom w:val="single" w:color="auto" w:sz="12"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rPr>
            </w:pPr>
            <w:r>
              <w:rPr>
                <w:rFonts w:hint="eastAsia" w:ascii="Calibri" w:hAnsi="Calibri" w:eastAsia="宋体" w:cs="宋体"/>
                <w:kern w:val="0"/>
                <w:sz w:val="24"/>
                <w:szCs w:val="24"/>
                <w:lang w:val="en-US" w:eastAsia="zh-CN" w:bidi="ar"/>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ED"/>
    <w:rsid w:val="005509ED"/>
    <w:rsid w:val="00D32666"/>
    <w:rsid w:val="030C129E"/>
    <w:rsid w:val="0E470086"/>
    <w:rsid w:val="109B69D0"/>
    <w:rsid w:val="161A2AE3"/>
    <w:rsid w:val="185B282D"/>
    <w:rsid w:val="1CB81031"/>
    <w:rsid w:val="1D3F1A4C"/>
    <w:rsid w:val="1F5B24E7"/>
    <w:rsid w:val="27D91FF8"/>
    <w:rsid w:val="2BB331E5"/>
    <w:rsid w:val="36AC2DB5"/>
    <w:rsid w:val="36CF2E7B"/>
    <w:rsid w:val="371D617D"/>
    <w:rsid w:val="3F9E47E1"/>
    <w:rsid w:val="40BE422D"/>
    <w:rsid w:val="43E45293"/>
    <w:rsid w:val="5B8F457A"/>
    <w:rsid w:val="649A7183"/>
    <w:rsid w:val="70431A4B"/>
    <w:rsid w:val="754A2D27"/>
    <w:rsid w:val="79D5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5">
    <w:name w:val="FollowedHyperlink"/>
    <w:basedOn w:val="4"/>
    <w:semiHidden/>
    <w:unhideWhenUsed/>
    <w:qFormat/>
    <w:uiPriority w:val="99"/>
    <w:rPr>
      <w:color w:val="333333"/>
      <w:u w:val="none"/>
    </w:rPr>
  </w:style>
  <w:style w:type="character" w:styleId="6">
    <w:name w:val="Emphasis"/>
    <w:basedOn w:val="4"/>
    <w:qFormat/>
    <w:uiPriority w:val="20"/>
  </w:style>
  <w:style w:type="character" w:styleId="7">
    <w:name w:val="Hyperlink"/>
    <w:basedOn w:val="4"/>
    <w:semiHidden/>
    <w:unhideWhenUsed/>
    <w:qFormat/>
    <w:uiPriority w:val="99"/>
    <w:rPr>
      <w:color w:val="333333"/>
      <w:u w:val="none"/>
    </w:rPr>
  </w:style>
  <w:style w:type="character" w:customStyle="1" w:styleId="8">
    <w:name w:val="bsharetext"/>
    <w:basedOn w:val="4"/>
    <w:qFormat/>
    <w:uiPriority w:val="0"/>
  </w:style>
  <w:style w:type="character" w:customStyle="1" w:styleId="9">
    <w:name w:val="wx-space"/>
    <w:basedOn w:val="4"/>
    <w:uiPriority w:val="0"/>
  </w:style>
  <w:style w:type="character" w:customStyle="1" w:styleId="10">
    <w:name w:val="wx-space1"/>
    <w:basedOn w:val="4"/>
    <w:qFormat/>
    <w:uiPriority w:val="0"/>
  </w:style>
  <w:style w:type="character" w:customStyle="1" w:styleId="11">
    <w:name w:val="hover4"/>
    <w:basedOn w:val="4"/>
    <w:uiPriority w:val="0"/>
    <w:rPr>
      <w:color w:val="000000"/>
      <w:shd w:val="clear" w:fill="FFFFFF"/>
    </w:rPr>
  </w:style>
  <w:style w:type="paragraph" w:customStyle="1" w:styleId="12">
    <w:name w:val="p17"/>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305</Words>
  <Characters>1745</Characters>
  <Lines>14</Lines>
  <Paragraphs>4</Paragraphs>
  <TotalTime>4</TotalTime>
  <ScaleCrop>false</ScaleCrop>
  <LinksUpToDate>false</LinksUpToDate>
  <CharactersWithSpaces>2046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2020-03-23T07:25:00Z</dcterms:created>
  <dc:creator>Administrator</dc:creator>
  <cp:lastModifiedBy>Administrator</cp:lastModifiedBy>
  <dcterms:modified xsi:type="dcterms:W3CDTF">2020-11-16T02:44:09Z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