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296"/>
        <w:gridCol w:w="859"/>
        <w:gridCol w:w="818"/>
        <w:gridCol w:w="1405"/>
        <w:gridCol w:w="790"/>
        <w:gridCol w:w="682"/>
        <w:gridCol w:w="982"/>
        <w:gridCol w:w="845"/>
        <w:gridCol w:w="805"/>
        <w:gridCol w:w="805"/>
        <w:gridCol w:w="7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一般公共预算财政拨款“三公”经费支出决算表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公开07表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部门：                                                                                   单位：万元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桃江县扶贫开发办公室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2019年度预算数</w:t>
            </w:r>
          </w:p>
        </w:tc>
        <w:tc>
          <w:tcPr>
            <w:tcW w:w="4882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2019年度决算数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因公出国（境）费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因公出国（境）费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公务用车运行费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公务用车运行费</w:t>
            </w: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28" w:type="dxa"/>
            <w:gridSpan w:val="12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注：本表反映部门本年度“三公”经费支出预决算情况。数据来源部门决算报表（财决附03表）机构运行信息表。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2021-01-11T03:12:01Z</dcterms:created>
  <dc:creator>admin</dc:creator>
  <cp:lastModifiedBy>熊思宇</cp:lastModifiedBy>
  <dcterms:modified xsi:type="dcterms:W3CDTF">2021-01-11T03:19:47Z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