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eastAsiaTheme="minorEastAsia"/>
          <w:sz w:val="72"/>
          <w:szCs w:val="72"/>
        </w:rPr>
      </w:pPr>
    </w:p>
    <w:p>
      <w:pPr>
        <w:pStyle w:val="25"/>
        <w:spacing w:line="240" w:lineRule="auto"/>
        <w:ind w:left="0" w:leftChars="0" w:firstLine="0" w:firstLineChars="0"/>
        <w:jc w:val="center"/>
        <w:rPr>
          <w:sz w:val="72"/>
          <w:szCs w:val="72"/>
        </w:rPr>
      </w:pPr>
      <w:r>
        <w:rPr>
          <w:sz w:val="52"/>
          <w:szCs w:val="52"/>
        </w:rPr>
        <w:t>桃江县鲊埠筑基仑加油点</w:t>
      </w:r>
    </w:p>
    <w:p>
      <w:pPr>
        <w:spacing w:line="240" w:lineRule="auto"/>
        <w:ind w:firstLine="0" w:firstLineChars="0"/>
        <w:jc w:val="center"/>
        <w:rPr>
          <w:sz w:val="72"/>
          <w:szCs w:val="72"/>
        </w:rPr>
      </w:pPr>
      <w:r>
        <w:rPr>
          <w:sz w:val="72"/>
          <w:szCs w:val="72"/>
        </w:rPr>
        <w:t>建设项目</w:t>
      </w:r>
    </w:p>
    <w:p>
      <w:pPr>
        <w:spacing w:line="240" w:lineRule="auto"/>
        <w:ind w:firstLine="0" w:firstLineChars="0"/>
        <w:jc w:val="center"/>
        <w:rPr>
          <w:sz w:val="72"/>
          <w:szCs w:val="72"/>
        </w:rPr>
      </w:pPr>
      <w:r>
        <w:rPr>
          <w:sz w:val="72"/>
          <w:szCs w:val="72"/>
        </w:rPr>
        <w:t>环境影响报告表</w:t>
      </w:r>
    </w:p>
    <w:p>
      <w:pPr>
        <w:spacing w:line="240" w:lineRule="auto"/>
        <w:ind w:firstLine="0" w:firstLineChars="0"/>
        <w:jc w:val="center"/>
      </w:pPr>
      <w:r>
        <w:t>（</w:t>
      </w:r>
      <w:r>
        <w:rPr>
          <w:rFonts w:hint="eastAsia"/>
        </w:rPr>
        <w:t>报批</w:t>
      </w:r>
      <w:r>
        <w:t>稿）</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pPr>
      <w:r>
        <w:t>建设单位：桃江县鲊埠筑基仑加油点</w:t>
      </w:r>
    </w:p>
    <w:p>
      <w:pPr>
        <w:ind w:firstLine="0" w:firstLineChars="0"/>
        <w:jc w:val="center"/>
      </w:pPr>
      <w:r>
        <w:t>编制单位：湖南铭越环境科技有限公司</w:t>
      </w:r>
    </w:p>
    <w:p>
      <w:pPr>
        <w:ind w:firstLine="0" w:firstLineChars="0"/>
      </w:pPr>
    </w:p>
    <w:p>
      <w:pPr>
        <w:ind w:firstLine="0" w:firstLineChars="0"/>
      </w:pPr>
    </w:p>
    <w:p>
      <w:pPr>
        <w:ind w:firstLine="0" w:firstLineChars="0"/>
      </w:pPr>
    </w:p>
    <w:p>
      <w:pPr>
        <w:ind w:firstLine="0" w:firstLineChars="0"/>
        <w:jc w:val="center"/>
      </w:pPr>
      <w:r>
        <w:t>编制日期：二〇二〇年十</w:t>
      </w:r>
      <w:r>
        <w:rPr>
          <w:rFonts w:hint="eastAsia"/>
        </w:rPr>
        <w:t>一</w:t>
      </w:r>
      <w:r>
        <w:t>月</w:t>
      </w:r>
    </w:p>
    <w:p>
      <w:pPr>
        <w:ind w:firstLine="560"/>
        <w:jc w:val="center"/>
        <w:rPr>
          <w:highlight w:val="green"/>
        </w:rPr>
      </w:pPr>
    </w:p>
    <w:p>
      <w:pPr>
        <w:pStyle w:val="24"/>
        <w:ind w:firstLine="56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spacing w:line="240" w:lineRule="auto"/>
        <w:ind w:firstLine="0" w:firstLineChars="0"/>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5269230" cy="7247255"/>
            <wp:effectExtent l="0" t="0" r="3810" b="6985"/>
            <wp:docPr id="18" name="图片 18" descr="C:\Users\zzy\Desktop\001a670b7e28b7c7c3b72efb47f9b5e.jpg001a670b7e28b7c7c3b72efb47f9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zy\Desktop\001a670b7e28b7c7c3b72efb47f9b5e.jpg001a670b7e28b7c7c3b72efb47f9b5e"/>
                    <pic:cNvPicPr>
                      <a:picLocks noChangeAspect="1"/>
                    </pic:cNvPicPr>
                  </pic:nvPicPr>
                  <pic:blipFill>
                    <a:blip r:embed="rId11"/>
                    <a:srcRect/>
                    <a:stretch>
                      <a:fillRect/>
                    </a:stretch>
                  </pic:blipFill>
                  <pic:spPr>
                    <a:xfrm rot="10800000">
                      <a:off x="0" y="0"/>
                      <a:ext cx="5269230" cy="7247255"/>
                    </a:xfrm>
                    <a:prstGeom prst="rect">
                      <a:avLst/>
                    </a:prstGeom>
                  </pic:spPr>
                </pic:pic>
              </a:graphicData>
            </a:graphic>
          </wp:inline>
        </w:drawing>
      </w:r>
    </w:p>
    <w:p>
      <w:pPr>
        <w:pStyle w:val="2"/>
        <w:spacing w:line="240" w:lineRule="auto"/>
        <w:ind w:firstLine="0" w:firstLineChars="0"/>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5269865" cy="7247255"/>
            <wp:effectExtent l="0" t="0" r="3175" b="6985"/>
            <wp:docPr id="19" name="图片 19" descr="19244b2fa5141055b5bfa14b87f8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244b2fa5141055b5bfa14b87f8a51"/>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pPr>
        <w:spacing w:line="240" w:lineRule="auto"/>
        <w:ind w:firstLine="0" w:firstLineChars="0"/>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5269865" cy="7247255"/>
            <wp:effectExtent l="0" t="0" r="3175" b="6985"/>
            <wp:docPr id="20" name="图片 20" descr="fedf82b03b056d7cfeda2bad006b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edf82b03b056d7cfeda2bad006b34b"/>
                    <pic:cNvPicPr>
                      <a:picLocks noChangeAspect="1"/>
                    </pic:cNvPicPr>
                  </pic:nvPicPr>
                  <pic:blipFill>
                    <a:blip r:embed="rId13"/>
                    <a:stretch>
                      <a:fillRect/>
                    </a:stretch>
                  </pic:blipFill>
                  <pic:spPr>
                    <a:xfrm>
                      <a:off x="0" y="0"/>
                      <a:ext cx="5269865" cy="7247255"/>
                    </a:xfrm>
                    <a:prstGeom prst="rect">
                      <a:avLst/>
                    </a:prstGeom>
                  </pic:spPr>
                </pic:pic>
              </a:graphicData>
            </a:graphic>
          </wp:inline>
        </w:drawing>
      </w:r>
    </w:p>
    <w:sdt>
      <w:sdtPr>
        <w:rPr>
          <w:rFonts w:ascii="宋体" w:hAnsi="宋体"/>
          <w:sz w:val="21"/>
          <w:szCs w:val="24"/>
        </w:rPr>
        <w:id w:val="147467585"/>
        <w:docPartObj>
          <w:docPartGallery w:val="Table of Contents"/>
          <w:docPartUnique/>
        </w:docPartObj>
      </w:sdtPr>
      <w:sdtEndPr>
        <w:rPr>
          <w:rFonts w:ascii="宋体" w:hAnsi="宋体"/>
          <w:sz w:val="21"/>
          <w:szCs w:val="24"/>
        </w:rPr>
      </w:sdtEndPr>
      <w:sdtContent>
        <w:p>
          <w:pPr>
            <w:spacing w:line="240" w:lineRule="auto"/>
            <w:ind w:firstLine="0" w:firstLineChars="0"/>
            <w:jc w:val="center"/>
          </w:pPr>
          <w:r>
            <w:rPr>
              <w:b/>
              <w:bCs/>
              <w:sz w:val="44"/>
              <w:szCs w:val="44"/>
            </w:rPr>
            <w:t>目  录</w:t>
          </w:r>
        </w:p>
        <w:p>
          <w:pPr>
            <w:pStyle w:val="60"/>
            <w:tabs>
              <w:tab w:val="right" w:leader="dot" w:pos="8306"/>
            </w:tabs>
            <w:rPr>
              <w:rFonts w:ascii="Times New Roman" w:hAnsi="Times New Roman" w:eastAsia="仿宋" w:cs="Times New Roman"/>
              <w:sz w:val="28"/>
              <w:szCs w:val="28"/>
            </w:rPr>
          </w:pPr>
          <w:r>
            <w:rPr>
              <w:rFonts w:ascii="Times New Roman" w:hAnsi="Times New Roman" w:eastAsia="仿宋" w:cs="Times New Roman"/>
            </w:rPr>
            <w:fldChar w:fldCharType="begin"/>
          </w:r>
          <w:r>
            <w:rPr>
              <w:rFonts w:ascii="Times New Roman" w:hAnsi="Times New Roman" w:eastAsia="仿宋" w:cs="Times New Roman"/>
            </w:rPr>
            <w:instrText xml:space="preserve">TOC \o "1-1" \h \u </w:instrText>
          </w:r>
          <w:r>
            <w:rPr>
              <w:rFonts w:ascii="Times New Roman" w:hAnsi="Times New Roman" w:eastAsia="仿宋" w:cs="Times New Roman"/>
            </w:rPr>
            <w:fldChar w:fldCharType="separate"/>
          </w:r>
          <w:r>
            <w:fldChar w:fldCharType="begin"/>
          </w:r>
          <w:r>
            <w:instrText xml:space="preserve"> HYPERLINK \l "_Toc9137" </w:instrText>
          </w:r>
          <w:r>
            <w:fldChar w:fldCharType="separate"/>
          </w:r>
          <w:r>
            <w:rPr>
              <w:rFonts w:ascii="Times New Roman" w:hAnsi="Times New Roman" w:eastAsia="仿宋" w:cs="Times New Roman"/>
              <w:sz w:val="28"/>
              <w:szCs w:val="28"/>
            </w:rPr>
            <w:t>一、建设项目基本情况</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_Toc9137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bookmarkStart w:id="51" w:name="_GoBack"/>
          <w:bookmarkEnd w:id="51"/>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"_Toc8610" </w:instrText>
          </w:r>
          <w:r>
            <w:fldChar w:fldCharType="separate"/>
          </w:r>
          <w:r>
            <w:rPr>
              <w:rFonts w:ascii="Times New Roman" w:hAnsi="Times New Roman" w:eastAsia="仿宋" w:cs="Times New Roman"/>
              <w:sz w:val="28"/>
              <w:szCs w:val="28"/>
            </w:rPr>
            <w:t>二、建设项目所在地自然环境</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_Toc8610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12</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"_Toc4816" </w:instrText>
          </w:r>
          <w:r>
            <w:fldChar w:fldCharType="separate"/>
          </w:r>
          <w:r>
            <w:rPr>
              <w:rFonts w:ascii="Times New Roman" w:hAnsi="Times New Roman" w:eastAsia="仿宋" w:cs="Times New Roman"/>
              <w:sz w:val="28"/>
              <w:szCs w:val="28"/>
            </w:rPr>
            <w:t>三、环境质量状况</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_Toc4816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"_Toc18260" </w:instrText>
          </w:r>
          <w:r>
            <w:fldChar w:fldCharType="separate"/>
          </w:r>
          <w:r>
            <w:rPr>
              <w:rFonts w:ascii="Times New Roman" w:hAnsi="Times New Roman" w:eastAsia="仿宋" w:cs="Times New Roman"/>
              <w:sz w:val="28"/>
              <w:szCs w:val="28"/>
            </w:rPr>
            <w:t>四、评价适用标准</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_Toc18260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"_Toc32030" </w:instrText>
          </w:r>
          <w:r>
            <w:fldChar w:fldCharType="separate"/>
          </w:r>
          <w:r>
            <w:rPr>
              <w:rFonts w:ascii="Times New Roman" w:hAnsi="Times New Roman" w:eastAsia="仿宋" w:cs="Times New Roman"/>
              <w:sz w:val="28"/>
              <w:szCs w:val="28"/>
            </w:rPr>
            <w:t>五、建设项目工程分析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_Toc32030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"_Toc3257" </w:instrText>
          </w:r>
          <w:r>
            <w:fldChar w:fldCharType="separate"/>
          </w:r>
          <w:r>
            <w:rPr>
              <w:rFonts w:ascii="Times New Roman" w:hAnsi="Times New Roman" w:eastAsia="仿宋" w:cs="Times New Roman"/>
              <w:sz w:val="28"/>
              <w:szCs w:val="28"/>
            </w:rPr>
            <w:t>六、项目主要污染物产生及预计排放情况</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_Toc3257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36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"_Toc11395" </w:instrText>
          </w:r>
          <w:r>
            <w:fldChar w:fldCharType="separate"/>
          </w:r>
          <w:r>
            <w:rPr>
              <w:rFonts w:ascii="Times New Roman" w:hAnsi="Times New Roman" w:eastAsia="仿宋" w:cs="Times New Roman"/>
              <w:bCs/>
              <w:sz w:val="28"/>
              <w:szCs w:val="28"/>
            </w:rPr>
            <w:t>七、环境影响分析</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_Toc11395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37</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sz w:val="28"/>
              <w:szCs w:val="28"/>
            </w:rPr>
          </w:pPr>
          <w:r>
            <w:fldChar w:fldCharType="begin"/>
          </w:r>
          <w:r>
            <w:instrText xml:space="preserve"> HYPERLINK \l "_Toc19462" </w:instrText>
          </w:r>
          <w:r>
            <w:fldChar w:fldCharType="separate"/>
          </w:r>
          <w:r>
            <w:rPr>
              <w:rFonts w:ascii="Times New Roman" w:hAnsi="Times New Roman" w:eastAsia="仿宋" w:cs="Times New Roman"/>
              <w:sz w:val="28"/>
              <w:szCs w:val="28"/>
            </w:rPr>
            <w:t>八、建设项目拟采取的防治措施及预期治理效果</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_Toc19462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57</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60"/>
            <w:tabs>
              <w:tab w:val="right" w:leader="dot" w:pos="8306"/>
            </w:tabs>
            <w:rPr>
              <w:rFonts w:ascii="Times New Roman" w:hAnsi="Times New Roman" w:eastAsia="仿宋" w:cs="Times New Roman"/>
            </w:rPr>
          </w:pPr>
          <w:r>
            <w:fldChar w:fldCharType="begin"/>
          </w:r>
          <w:r>
            <w:instrText xml:space="preserve"> HYPERLINK \l "_Toc28878" </w:instrText>
          </w:r>
          <w:r>
            <w:fldChar w:fldCharType="separate"/>
          </w:r>
          <w:r>
            <w:rPr>
              <w:rFonts w:ascii="Times New Roman" w:hAnsi="Times New Roman" w:eastAsia="仿宋" w:cs="Times New Roman"/>
              <w:sz w:val="28"/>
              <w:szCs w:val="28"/>
            </w:rPr>
            <w:t>九、结论与建议</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_Toc28878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25"/>
            <w:spacing w:line="240" w:lineRule="auto"/>
            <w:ind w:left="0" w:leftChars="0" w:firstLine="0" w:firstLineChars="0"/>
            <w:sectPr>
              <w:pgSz w:w="11906" w:h="16838"/>
              <w:pgMar w:top="1440" w:right="1800" w:bottom="1440" w:left="1800" w:header="851" w:footer="992" w:gutter="0"/>
              <w:cols w:space="425" w:num="1"/>
              <w:docGrid w:type="lines" w:linePitch="312" w:charSpace="0"/>
            </w:sectPr>
          </w:pPr>
          <w:r>
            <w:fldChar w:fldCharType="end"/>
          </w:r>
        </w:p>
        <w:p>
          <w:pPr>
            <w:pStyle w:val="25"/>
            <w:spacing w:after="0"/>
            <w:ind w:left="0" w:leftChars="0" w:firstLine="0" w:firstLineChars="0"/>
          </w:pPr>
          <w:r>
            <w:rPr>
              <w:szCs w:val="28"/>
            </w:rPr>
            <w:t>附图</w:t>
          </w:r>
          <w:r>
            <w:t>：</w:t>
          </w:r>
        </w:p>
        <w:p>
          <w:pPr>
            <w:pStyle w:val="25"/>
            <w:numPr>
              <w:ilvl w:val="0"/>
              <w:numId w:val="2"/>
            </w:numPr>
            <w:spacing w:after="0"/>
            <w:ind w:left="0" w:leftChars="0" w:firstLine="0" w:firstLineChars="0"/>
          </w:pPr>
          <w:r>
            <w:t>项目位置与碧螺水库位置图</w:t>
          </w:r>
        </w:p>
        <w:p>
          <w:pPr>
            <w:pStyle w:val="25"/>
            <w:numPr>
              <w:ilvl w:val="0"/>
              <w:numId w:val="2"/>
            </w:numPr>
            <w:spacing w:after="0"/>
            <w:ind w:left="0" w:leftChars="0" w:firstLine="0" w:firstLineChars="0"/>
          </w:pPr>
          <w:r>
            <w:t>项目平面布置图</w:t>
          </w:r>
        </w:p>
        <w:p>
          <w:pPr>
            <w:pStyle w:val="25"/>
            <w:numPr>
              <w:ilvl w:val="0"/>
              <w:numId w:val="2"/>
            </w:numPr>
            <w:spacing w:after="0"/>
            <w:ind w:left="0" w:leftChars="0" w:firstLine="0" w:firstLineChars="0"/>
          </w:pPr>
          <w:r>
            <w:t>项目周边环境大气、声环境、水环境保护目标图</w:t>
          </w:r>
        </w:p>
        <w:p>
          <w:pPr>
            <w:pStyle w:val="25"/>
            <w:numPr>
              <w:ilvl w:val="0"/>
              <w:numId w:val="2"/>
            </w:numPr>
            <w:spacing w:after="0"/>
            <w:ind w:left="0" w:leftChars="0" w:firstLine="0" w:firstLineChars="0"/>
          </w:pPr>
          <w:r>
            <w:t>项目监测布点图</w:t>
          </w:r>
        </w:p>
        <w:p>
          <w:pPr>
            <w:pStyle w:val="25"/>
            <w:numPr>
              <w:ilvl w:val="0"/>
              <w:numId w:val="2"/>
            </w:numPr>
            <w:spacing w:after="0"/>
            <w:ind w:left="0" w:leftChars="0" w:firstLine="0" w:firstLineChars="0"/>
          </w:pPr>
          <w:r>
            <w:t>区域水系图</w:t>
          </w:r>
        </w:p>
        <w:p>
          <w:pPr>
            <w:pStyle w:val="25"/>
            <w:numPr>
              <w:ilvl w:val="0"/>
              <w:numId w:val="2"/>
            </w:numPr>
            <w:spacing w:after="0"/>
            <w:ind w:left="0" w:leftChars="0" w:firstLine="0" w:firstLineChars="0"/>
          </w:pPr>
          <w:r>
            <w:t>项目排水图</w:t>
          </w:r>
        </w:p>
        <w:p>
          <w:pPr>
            <w:pStyle w:val="25"/>
            <w:spacing w:after="0"/>
            <w:ind w:left="0" w:leftChars="0" w:firstLine="0" w:firstLineChars="0"/>
            <w:rPr>
              <w:szCs w:val="28"/>
            </w:rPr>
          </w:pPr>
          <w:r>
            <w:rPr>
              <w:szCs w:val="28"/>
            </w:rPr>
            <w:t>附件：</w:t>
          </w:r>
        </w:p>
        <w:p>
          <w:pPr>
            <w:pStyle w:val="24"/>
            <w:spacing w:line="520" w:lineRule="exact"/>
            <w:ind w:firstLine="0" w:firstLineChars="0"/>
          </w:pPr>
          <w:r>
            <w:rPr>
              <w:rFonts w:hint="eastAsia"/>
              <w:szCs w:val="28"/>
            </w:rPr>
            <w:t xml:space="preserve">1.委托书 </w:t>
          </w:r>
        </w:p>
        <w:p>
          <w:pPr>
            <w:pStyle w:val="25"/>
            <w:spacing w:after="0"/>
            <w:ind w:left="0" w:leftChars="0" w:firstLine="0" w:firstLineChars="0"/>
          </w:pPr>
          <w:r>
            <w:rPr>
              <w:rFonts w:hint="eastAsia"/>
            </w:rPr>
            <w:t>2</w:t>
          </w:r>
          <w:r>
            <w:t>.</w:t>
          </w:r>
          <w:r>
            <w:rPr>
              <w:rFonts w:hint="eastAsia"/>
            </w:rPr>
            <w:t>营业执照</w:t>
          </w:r>
        </w:p>
        <w:p>
          <w:pPr>
            <w:pStyle w:val="25"/>
            <w:spacing w:after="0"/>
            <w:ind w:left="0" w:leftChars="0" w:firstLine="0" w:firstLineChars="0"/>
          </w:pPr>
          <w:r>
            <w:rPr>
              <w:rFonts w:hint="eastAsia"/>
            </w:rPr>
            <w:t>3</w:t>
          </w:r>
          <w:r>
            <w:t>.安全生产行政执法书</w:t>
          </w:r>
        </w:p>
        <w:p>
          <w:pPr>
            <w:pStyle w:val="25"/>
            <w:spacing w:after="0"/>
            <w:ind w:left="0" w:leftChars="0" w:firstLine="0" w:firstLineChars="0"/>
          </w:pPr>
          <w:r>
            <w:rPr>
              <w:rFonts w:hint="eastAsia"/>
            </w:rPr>
            <w:t>4</w:t>
          </w:r>
          <w:r>
            <w:t>.危废处置协议</w:t>
          </w:r>
        </w:p>
        <w:p>
          <w:pPr>
            <w:pStyle w:val="25"/>
            <w:spacing w:after="0"/>
            <w:ind w:left="0" w:leftChars="0" w:firstLine="0" w:firstLineChars="0"/>
          </w:pPr>
          <w:r>
            <w:rPr>
              <w:rFonts w:hint="eastAsia"/>
            </w:rPr>
            <w:t>5</w:t>
          </w:r>
          <w:r>
            <w:t>.购油合同</w:t>
          </w:r>
        </w:p>
        <w:p>
          <w:pPr>
            <w:pStyle w:val="25"/>
            <w:spacing w:after="0"/>
            <w:ind w:left="0" w:leftChars="0" w:firstLine="0" w:firstLineChars="0"/>
          </w:pPr>
          <w:r>
            <w:rPr>
              <w:rFonts w:hint="eastAsia"/>
            </w:rPr>
            <w:t>6</w:t>
          </w:r>
          <w:r>
            <w:t>.成品油零售经营批准书</w:t>
          </w:r>
        </w:p>
        <w:p>
          <w:pPr>
            <w:pStyle w:val="25"/>
            <w:spacing w:after="0"/>
            <w:ind w:left="0" w:leftChars="0" w:firstLine="0" w:firstLineChars="0"/>
          </w:pPr>
          <w:r>
            <w:rPr>
              <w:rFonts w:hint="eastAsia"/>
            </w:rPr>
            <w:t>7</w:t>
          </w:r>
          <w:r>
            <w:t>.消防大队消防验收意见书</w:t>
          </w:r>
        </w:p>
        <w:p>
          <w:pPr>
            <w:pStyle w:val="24"/>
            <w:spacing w:line="520" w:lineRule="exact"/>
            <w:ind w:firstLine="0" w:firstLineChars="0"/>
            <w:rPr>
              <w:u w:val="single"/>
            </w:rPr>
          </w:pPr>
          <w:r>
            <w:rPr>
              <w:rFonts w:hint="eastAsia"/>
            </w:rPr>
            <w:t>8</w:t>
          </w:r>
          <w:r>
            <w:rPr>
              <w:rFonts w:hint="eastAsia"/>
              <w:u w:val="single"/>
            </w:rPr>
            <w:t>.危废处理资质</w:t>
          </w:r>
        </w:p>
        <w:p>
          <w:pPr>
            <w:ind w:firstLine="0" w:firstLineChars="0"/>
          </w:pPr>
          <w:r>
            <w:rPr>
              <w:rFonts w:hint="eastAsia"/>
            </w:rPr>
            <w:t>9.监测报告及其质保单</w:t>
          </w:r>
        </w:p>
        <w:p>
          <w:pPr>
            <w:ind w:firstLine="0" w:firstLineChars="0"/>
            <w:rPr>
              <w:u w:val="single"/>
            </w:rPr>
          </w:pPr>
          <w:r>
            <w:rPr>
              <w:rFonts w:hint="eastAsia"/>
              <w:u w:val="single"/>
            </w:rPr>
            <w:t>10.专家函审意见</w:t>
          </w:r>
        </w:p>
        <w:p>
          <w:pPr>
            <w:pStyle w:val="2"/>
            <w:ind w:firstLine="0" w:firstLineChars="0"/>
          </w:pPr>
          <w:r>
            <w:rPr>
              <w:rFonts w:hint="eastAsia"/>
              <w:u w:val="single"/>
            </w:rPr>
            <w:t>11.执行标准函</w:t>
          </w:r>
        </w:p>
        <w:p>
          <w:pPr>
            <w:pStyle w:val="25"/>
            <w:spacing w:after="0"/>
            <w:ind w:left="0" w:leftChars="0" w:firstLine="0" w:firstLineChars="0"/>
            <w:rPr>
              <w:szCs w:val="28"/>
            </w:rPr>
          </w:pPr>
          <w:r>
            <w:rPr>
              <w:szCs w:val="28"/>
            </w:rPr>
            <w:t>附表：</w:t>
          </w:r>
        </w:p>
        <w:p>
          <w:pPr>
            <w:pStyle w:val="25"/>
            <w:spacing w:after="0"/>
            <w:ind w:left="0" w:leftChars="0" w:firstLine="0" w:firstLineChars="0"/>
          </w:pPr>
          <w:r>
            <w:t>1.自查表</w:t>
          </w:r>
        </w:p>
        <w:p>
          <w:pPr>
            <w:pStyle w:val="25"/>
            <w:spacing w:after="0"/>
            <w:ind w:left="0" w:leftChars="0" w:firstLine="0" w:firstLineChars="0"/>
          </w:pPr>
          <w:r>
            <w:t>2.建设项目环评审批基础信息表</w:t>
          </w:r>
        </w:p>
      </w:sdtContent>
    </w:sdt>
    <w:p>
      <w:pPr>
        <w:pStyle w:val="25"/>
        <w:spacing w:line="240" w:lineRule="auto"/>
        <w:ind w:left="0" w:leftChars="0" w:firstLine="0" w:firstLineChars="0"/>
      </w:pPr>
    </w:p>
    <w:p>
      <w:pPr>
        <w:pStyle w:val="25"/>
        <w:spacing w:line="240" w:lineRule="auto"/>
        <w:ind w:left="0" w:leftChars="0" w:firstLine="0" w:firstLineChars="0"/>
      </w:pPr>
    </w:p>
    <w:p>
      <w:pPr>
        <w:pStyle w:val="25"/>
        <w:ind w:left="0" w:leftChars="0" w:firstLine="0" w:firstLineChars="0"/>
        <w:rPr>
          <w:szCs w:val="28"/>
        </w:rPr>
      </w:pPr>
    </w:p>
    <w:p>
      <w:pPr>
        <w:ind w:firstLine="0" w:firstLineChars="0"/>
        <w:sectPr>
          <w:pgSz w:w="11906" w:h="16838"/>
          <w:pgMar w:top="1440" w:right="1800" w:bottom="1440" w:left="1800" w:header="851" w:footer="992" w:gutter="0"/>
          <w:cols w:space="425" w:num="1"/>
          <w:docGrid w:type="lines" w:linePitch="312" w:charSpace="0"/>
        </w:sectPr>
      </w:pPr>
    </w:p>
    <w:p>
      <w:pPr>
        <w:pStyle w:val="3"/>
        <w:spacing w:before="0" w:after="0" w:line="240" w:lineRule="auto"/>
        <w:ind w:firstLine="0" w:firstLineChars="0"/>
      </w:pPr>
      <w:bookmarkStart w:id="0" w:name="_Toc9137"/>
      <w:bookmarkStart w:id="1" w:name="_Toc13353"/>
      <w:bookmarkStart w:id="2" w:name="_Toc23005"/>
      <w:r>
        <w:t>一、建设项目基本情况</w:t>
      </w:r>
      <w:bookmarkEnd w:id="0"/>
      <w:bookmarkEnd w:id="1"/>
      <w:bookmarkEnd w:id="2"/>
    </w:p>
    <w:tbl>
      <w:tblPr>
        <w:tblStyle w:val="2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005"/>
        <w:gridCol w:w="835"/>
        <w:gridCol w:w="1319"/>
        <w:gridCol w:w="1320"/>
        <w:gridCol w:w="1015"/>
        <w:gridCol w:w="92"/>
        <w:gridCol w:w="467"/>
        <w:gridCol w:w="881"/>
        <w:gridCol w:w="61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项目名称</w:t>
            </w:r>
          </w:p>
        </w:tc>
        <w:tc>
          <w:tcPr>
            <w:tcW w:w="3948" w:type="pct"/>
            <w:gridSpan w:val="9"/>
            <w:tcBorders>
              <w:tl2br w:val="nil"/>
              <w:tr2bl w:val="nil"/>
            </w:tcBorders>
            <w:noWrap/>
            <w:vAlign w:val="center"/>
          </w:tcPr>
          <w:p>
            <w:pPr>
              <w:snapToGrid w:val="0"/>
              <w:spacing w:line="240" w:lineRule="auto"/>
              <w:ind w:firstLine="0" w:firstLineChars="0"/>
              <w:jc w:val="center"/>
            </w:pPr>
            <w:r>
              <w:t>桃江县鲊埠筑基仑加油点建设项目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建设单位</w:t>
            </w:r>
          </w:p>
        </w:tc>
        <w:tc>
          <w:tcPr>
            <w:tcW w:w="3948" w:type="pct"/>
            <w:gridSpan w:val="9"/>
            <w:tcBorders>
              <w:tl2br w:val="nil"/>
              <w:tr2bl w:val="nil"/>
            </w:tcBorders>
            <w:noWrap/>
            <w:vAlign w:val="center"/>
          </w:tcPr>
          <w:p>
            <w:pPr>
              <w:snapToGrid w:val="0"/>
              <w:spacing w:line="240" w:lineRule="auto"/>
              <w:ind w:firstLine="0" w:firstLineChars="0"/>
              <w:jc w:val="center"/>
            </w:pPr>
            <w:r>
              <w:t>桃江县鲊埠筑基仑加油点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法人代表</w:t>
            </w:r>
          </w:p>
        </w:tc>
        <w:tc>
          <w:tcPr>
            <w:tcW w:w="1822" w:type="pct"/>
            <w:gridSpan w:val="3"/>
            <w:tcBorders>
              <w:tl2br w:val="nil"/>
              <w:tr2bl w:val="nil"/>
            </w:tcBorders>
            <w:noWrap/>
            <w:vAlign w:val="center"/>
          </w:tcPr>
          <w:p>
            <w:pPr>
              <w:snapToGrid w:val="0"/>
              <w:spacing w:line="240" w:lineRule="auto"/>
              <w:ind w:firstLine="0" w:firstLineChars="0"/>
              <w:jc w:val="center"/>
            </w:pPr>
            <w:r>
              <w:t>张美芝</w:t>
            </w:r>
          </w:p>
        </w:tc>
        <w:tc>
          <w:tcPr>
            <w:tcW w:w="532" w:type="pct"/>
            <w:tcBorders>
              <w:tl2br w:val="nil"/>
              <w:tr2bl w:val="nil"/>
            </w:tcBorders>
            <w:noWrap/>
            <w:vAlign w:val="center"/>
          </w:tcPr>
          <w:p>
            <w:pPr>
              <w:snapToGrid w:val="0"/>
              <w:spacing w:line="240" w:lineRule="auto"/>
              <w:ind w:firstLine="0" w:firstLineChars="0"/>
              <w:jc w:val="center"/>
            </w:pPr>
            <w:r>
              <w:t>联系人</w:t>
            </w:r>
          </w:p>
        </w:tc>
        <w:tc>
          <w:tcPr>
            <w:tcW w:w="1593" w:type="pct"/>
            <w:gridSpan w:val="5"/>
            <w:tcBorders>
              <w:tl2br w:val="nil"/>
              <w:tr2bl w:val="nil"/>
            </w:tcBorders>
            <w:noWrap/>
            <w:vAlign w:val="center"/>
          </w:tcPr>
          <w:p>
            <w:pPr>
              <w:snapToGrid w:val="0"/>
              <w:spacing w:line="240" w:lineRule="auto"/>
              <w:ind w:firstLine="0" w:firstLineChars="0"/>
              <w:jc w:val="center"/>
            </w:pPr>
            <w:r>
              <w:t>张美芝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通讯地址</w:t>
            </w:r>
          </w:p>
        </w:tc>
        <w:tc>
          <w:tcPr>
            <w:tcW w:w="3948" w:type="pct"/>
            <w:gridSpan w:val="9"/>
            <w:tcBorders>
              <w:tl2br w:val="nil"/>
              <w:tr2bl w:val="nil"/>
            </w:tcBorders>
            <w:noWrap/>
            <w:vAlign w:val="center"/>
          </w:tcPr>
          <w:p>
            <w:pPr>
              <w:snapToGrid w:val="0"/>
              <w:spacing w:line="240" w:lineRule="auto"/>
              <w:ind w:firstLine="0" w:firstLineChars="0"/>
              <w:jc w:val="center"/>
            </w:pPr>
            <w:r>
              <w:t>益阳市桃江县鲊埠回族乡鲊埠社区一里街组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0" w:hRule="atLeast"/>
        </w:trPr>
        <w:tc>
          <w:tcPr>
            <w:tcW w:w="1051" w:type="pct"/>
            <w:tcBorders>
              <w:tl2br w:val="nil"/>
              <w:tr2bl w:val="nil"/>
            </w:tcBorders>
            <w:noWrap/>
            <w:vAlign w:val="center"/>
          </w:tcPr>
          <w:p>
            <w:pPr>
              <w:snapToGrid w:val="0"/>
              <w:spacing w:line="240" w:lineRule="auto"/>
              <w:ind w:firstLine="0" w:firstLineChars="0"/>
              <w:jc w:val="center"/>
            </w:pPr>
            <w:r>
              <w:t>联系电话</w:t>
            </w:r>
          </w:p>
        </w:tc>
        <w:tc>
          <w:tcPr>
            <w:tcW w:w="1129" w:type="pct"/>
            <w:gridSpan w:val="2"/>
            <w:tcBorders>
              <w:tl2br w:val="nil"/>
              <w:tr2bl w:val="nil"/>
            </w:tcBorders>
            <w:noWrap/>
            <w:vAlign w:val="center"/>
          </w:tcPr>
          <w:p>
            <w:pPr>
              <w:snapToGrid w:val="0"/>
              <w:spacing w:line="240" w:lineRule="auto"/>
              <w:ind w:firstLine="0" w:firstLineChars="0"/>
              <w:jc w:val="center"/>
            </w:pPr>
            <w:r>
              <w:t>15773794298</w:t>
            </w:r>
          </w:p>
        </w:tc>
        <w:tc>
          <w:tcPr>
            <w:tcW w:w="692" w:type="pct"/>
            <w:tcBorders>
              <w:tl2br w:val="nil"/>
              <w:tr2bl w:val="nil"/>
            </w:tcBorders>
            <w:noWrap/>
            <w:vAlign w:val="center"/>
          </w:tcPr>
          <w:p>
            <w:pPr>
              <w:snapToGrid w:val="0"/>
              <w:spacing w:line="240" w:lineRule="auto"/>
              <w:ind w:firstLine="0" w:firstLineChars="0"/>
              <w:jc w:val="center"/>
            </w:pPr>
            <w:r>
              <w:t>传真</w:t>
            </w:r>
          </w:p>
        </w:tc>
        <w:tc>
          <w:tcPr>
            <w:tcW w:w="532" w:type="pct"/>
            <w:tcBorders>
              <w:tl2br w:val="nil"/>
              <w:tr2bl w:val="nil"/>
            </w:tcBorders>
            <w:noWrap/>
            <w:vAlign w:val="center"/>
          </w:tcPr>
          <w:p>
            <w:pPr>
              <w:snapToGrid w:val="0"/>
              <w:spacing w:line="240" w:lineRule="auto"/>
              <w:ind w:firstLine="0" w:firstLineChars="0"/>
              <w:jc w:val="center"/>
            </w:pPr>
            <w:r>
              <w:t>-</w:t>
            </w:r>
          </w:p>
        </w:tc>
        <w:tc>
          <w:tcPr>
            <w:tcW w:w="755" w:type="pct"/>
            <w:gridSpan w:val="3"/>
            <w:tcBorders>
              <w:tl2br w:val="nil"/>
              <w:tr2bl w:val="nil"/>
            </w:tcBorders>
            <w:noWrap/>
            <w:vAlign w:val="center"/>
          </w:tcPr>
          <w:p>
            <w:pPr>
              <w:snapToGrid w:val="0"/>
              <w:spacing w:line="240" w:lineRule="auto"/>
              <w:ind w:firstLine="0" w:firstLineChars="0"/>
              <w:jc w:val="center"/>
            </w:pPr>
            <w:r>
              <w:t>邮政编码</w:t>
            </w:r>
          </w:p>
        </w:tc>
        <w:tc>
          <w:tcPr>
            <w:tcW w:w="838" w:type="pct"/>
            <w:gridSpan w:val="2"/>
            <w:tcBorders>
              <w:tl2br w:val="nil"/>
              <w:tr2bl w:val="nil"/>
            </w:tcBorders>
            <w:noWrap/>
            <w:vAlign w:val="center"/>
          </w:tcPr>
          <w:p>
            <w:pPr>
              <w:snapToGrid w:val="0"/>
              <w:spacing w:line="240" w:lineRule="auto"/>
              <w:ind w:firstLine="0" w:firstLineChars="0"/>
              <w:jc w:val="center"/>
            </w:pPr>
            <w:r>
              <w:t>413400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建设地点</w:t>
            </w:r>
          </w:p>
        </w:tc>
        <w:tc>
          <w:tcPr>
            <w:tcW w:w="3948" w:type="pct"/>
            <w:gridSpan w:val="9"/>
            <w:tcBorders>
              <w:tl2br w:val="nil"/>
              <w:tr2bl w:val="nil"/>
            </w:tcBorders>
            <w:noWrap/>
            <w:vAlign w:val="center"/>
          </w:tcPr>
          <w:p>
            <w:pPr>
              <w:snapToGrid w:val="0"/>
              <w:spacing w:line="240" w:lineRule="auto"/>
              <w:ind w:firstLine="0" w:firstLineChars="0"/>
              <w:jc w:val="center"/>
            </w:pPr>
            <w:r>
              <w:t>益阳市桃江县鲊埠回族乡鲊埠社区一里街组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trPr>
        <w:tc>
          <w:tcPr>
            <w:tcW w:w="1051" w:type="pct"/>
            <w:tcBorders>
              <w:tl2br w:val="nil"/>
              <w:tr2bl w:val="nil"/>
            </w:tcBorders>
            <w:noWrap/>
            <w:vAlign w:val="center"/>
          </w:tcPr>
          <w:p>
            <w:pPr>
              <w:snapToGrid w:val="0"/>
              <w:spacing w:line="240" w:lineRule="auto"/>
              <w:ind w:firstLine="0" w:firstLineChars="0"/>
              <w:jc w:val="center"/>
            </w:pPr>
            <w:r>
              <w:t>立项审批部门</w:t>
            </w:r>
          </w:p>
        </w:tc>
        <w:tc>
          <w:tcPr>
            <w:tcW w:w="1822" w:type="pct"/>
            <w:gridSpan w:val="3"/>
            <w:tcBorders>
              <w:tl2br w:val="nil"/>
              <w:tr2bl w:val="nil"/>
            </w:tcBorders>
            <w:noWrap/>
            <w:vAlign w:val="center"/>
          </w:tcPr>
          <w:p>
            <w:pPr>
              <w:snapToGrid w:val="0"/>
              <w:spacing w:line="240" w:lineRule="auto"/>
              <w:ind w:firstLine="0" w:firstLineChars="0"/>
              <w:jc w:val="center"/>
            </w:pPr>
            <w:r>
              <w:t>/</w:t>
            </w:r>
          </w:p>
        </w:tc>
        <w:tc>
          <w:tcPr>
            <w:tcW w:w="825" w:type="pct"/>
            <w:gridSpan w:val="3"/>
            <w:tcBorders>
              <w:tl2br w:val="nil"/>
              <w:tr2bl w:val="nil"/>
            </w:tcBorders>
            <w:noWrap/>
            <w:vAlign w:val="center"/>
          </w:tcPr>
          <w:p>
            <w:pPr>
              <w:snapToGrid w:val="0"/>
              <w:spacing w:line="240" w:lineRule="auto"/>
              <w:ind w:firstLine="0" w:firstLineChars="0"/>
              <w:jc w:val="center"/>
            </w:pPr>
            <w:r>
              <w:t>备案编号</w:t>
            </w:r>
          </w:p>
        </w:tc>
        <w:tc>
          <w:tcPr>
            <w:tcW w:w="1300" w:type="pct"/>
            <w:gridSpan w:val="3"/>
            <w:tcBorders>
              <w:tl2br w:val="nil"/>
              <w:tr2bl w:val="nil"/>
            </w:tcBorders>
            <w:noWrap/>
            <w:vAlign w:val="center"/>
          </w:tcPr>
          <w:p>
            <w:pPr>
              <w:snapToGrid w:val="0"/>
              <w:spacing w:line="240" w:lineRule="auto"/>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2" w:hRule="atLeast"/>
        </w:trPr>
        <w:tc>
          <w:tcPr>
            <w:tcW w:w="1051" w:type="pct"/>
            <w:tcBorders>
              <w:tl2br w:val="nil"/>
              <w:tr2bl w:val="nil"/>
            </w:tcBorders>
            <w:noWrap/>
            <w:vAlign w:val="center"/>
          </w:tcPr>
          <w:p>
            <w:pPr>
              <w:snapToGrid w:val="0"/>
              <w:spacing w:line="240" w:lineRule="auto"/>
              <w:ind w:firstLine="0" w:firstLineChars="0"/>
              <w:jc w:val="center"/>
            </w:pPr>
            <w:r>
              <w:t>建设性质</w:t>
            </w:r>
          </w:p>
        </w:tc>
        <w:tc>
          <w:tcPr>
            <w:tcW w:w="1822" w:type="pct"/>
            <w:gridSpan w:val="3"/>
            <w:tcBorders>
              <w:tl2br w:val="nil"/>
              <w:tr2bl w:val="nil"/>
            </w:tcBorders>
            <w:noWrap/>
            <w:vAlign w:val="center"/>
          </w:tcPr>
          <w:p>
            <w:pPr>
              <w:snapToGrid w:val="0"/>
              <w:spacing w:line="240" w:lineRule="auto"/>
              <w:ind w:firstLine="0" w:firstLineChars="0"/>
              <w:jc w:val="center"/>
            </w:pPr>
            <w:r>
              <w:t>新建</w:t>
            </w:r>
            <w:r>
              <w:rPr/>
              <w:sym w:font="Wingdings 2" w:char="0052"/>
            </w:r>
            <w:r>
              <w:t>改扩建</w:t>
            </w:r>
            <w:r>
              <w:rPr/>
              <w:sym w:font="Wingdings 2" w:char="00A3"/>
            </w:r>
            <w:r>
              <w:t>技改</w:t>
            </w:r>
            <w:r>
              <w:rPr/>
              <w:sym w:font="Wingdings 2" w:char="00A3"/>
            </w:r>
          </w:p>
        </w:tc>
        <w:tc>
          <w:tcPr>
            <w:tcW w:w="825" w:type="pct"/>
            <w:gridSpan w:val="3"/>
            <w:tcBorders>
              <w:tl2br w:val="nil"/>
              <w:tr2bl w:val="nil"/>
            </w:tcBorders>
            <w:noWrap/>
            <w:vAlign w:val="center"/>
          </w:tcPr>
          <w:p>
            <w:pPr>
              <w:snapToGrid w:val="0"/>
              <w:spacing w:line="240" w:lineRule="auto"/>
              <w:ind w:firstLine="0" w:firstLineChars="0"/>
              <w:jc w:val="center"/>
            </w:pPr>
            <w:r>
              <w:t>行业类别及代号</w:t>
            </w:r>
          </w:p>
        </w:tc>
        <w:tc>
          <w:tcPr>
            <w:tcW w:w="1300" w:type="pct"/>
            <w:gridSpan w:val="3"/>
            <w:tcBorders>
              <w:tl2br w:val="nil"/>
              <w:tr2bl w:val="nil"/>
            </w:tcBorders>
            <w:noWrap/>
            <w:vAlign w:val="center"/>
          </w:tcPr>
          <w:p>
            <w:pPr>
              <w:snapToGrid w:val="0"/>
              <w:spacing w:line="240" w:lineRule="auto"/>
              <w:ind w:firstLine="0" w:firstLineChars="0"/>
              <w:jc w:val="center"/>
            </w:pPr>
            <w:r>
              <w:t>F5265机动车燃油零售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2" w:hRule="atLeast"/>
        </w:trPr>
        <w:tc>
          <w:tcPr>
            <w:tcW w:w="1051" w:type="pct"/>
            <w:tcBorders>
              <w:tl2br w:val="nil"/>
              <w:tr2bl w:val="nil"/>
            </w:tcBorders>
            <w:noWrap/>
            <w:vAlign w:val="center"/>
          </w:tcPr>
          <w:p>
            <w:pPr>
              <w:snapToGrid w:val="0"/>
              <w:spacing w:line="240" w:lineRule="auto"/>
              <w:ind w:firstLine="0" w:firstLineChars="0"/>
              <w:jc w:val="center"/>
            </w:pPr>
            <w:r>
              <w:t>建筑面积</w:t>
            </w:r>
          </w:p>
          <w:p>
            <w:pPr>
              <w:snapToGrid w:val="0"/>
              <w:spacing w:line="240" w:lineRule="auto"/>
              <w:ind w:firstLine="0" w:firstLineChars="0"/>
              <w:jc w:val="center"/>
            </w:pPr>
            <w:r>
              <w:t>(平方米)</w:t>
            </w:r>
          </w:p>
        </w:tc>
        <w:tc>
          <w:tcPr>
            <w:tcW w:w="1822" w:type="pct"/>
            <w:gridSpan w:val="3"/>
            <w:tcBorders>
              <w:tl2br w:val="nil"/>
              <w:tr2bl w:val="nil"/>
            </w:tcBorders>
            <w:noWrap/>
            <w:vAlign w:val="center"/>
          </w:tcPr>
          <w:p>
            <w:pPr>
              <w:snapToGrid w:val="0"/>
              <w:spacing w:line="240" w:lineRule="auto"/>
              <w:ind w:firstLine="0" w:firstLineChars="0"/>
              <w:jc w:val="center"/>
            </w:pPr>
            <w:r>
              <w:rPr>
                <w:rFonts w:hint="eastAsia"/>
              </w:rPr>
              <w:t>971.3</w:t>
            </w:r>
          </w:p>
        </w:tc>
        <w:tc>
          <w:tcPr>
            <w:tcW w:w="825" w:type="pct"/>
            <w:gridSpan w:val="3"/>
            <w:tcBorders>
              <w:tl2br w:val="nil"/>
              <w:tr2bl w:val="nil"/>
            </w:tcBorders>
            <w:noWrap/>
            <w:vAlign w:val="center"/>
          </w:tcPr>
          <w:p>
            <w:pPr>
              <w:snapToGrid w:val="0"/>
              <w:spacing w:line="240" w:lineRule="auto"/>
              <w:ind w:firstLine="0" w:firstLineChars="0"/>
              <w:jc w:val="center"/>
            </w:pPr>
            <w:r>
              <w:t>绿化面积</w:t>
            </w:r>
          </w:p>
          <w:p>
            <w:pPr>
              <w:snapToGrid w:val="0"/>
              <w:spacing w:line="240" w:lineRule="auto"/>
              <w:ind w:firstLine="0" w:firstLineChars="0"/>
              <w:jc w:val="center"/>
            </w:pPr>
            <w:r>
              <w:t>(平方米)</w:t>
            </w:r>
          </w:p>
        </w:tc>
        <w:tc>
          <w:tcPr>
            <w:tcW w:w="1300" w:type="pct"/>
            <w:gridSpan w:val="3"/>
            <w:tcBorders>
              <w:tl2br w:val="nil"/>
              <w:tr2bl w:val="nil"/>
            </w:tcBorders>
            <w:noWrap/>
            <w:vAlign w:val="center"/>
          </w:tcPr>
          <w:p>
            <w:pPr>
              <w:snapToGrid w:val="0"/>
              <w:spacing w:line="240" w:lineRule="auto"/>
              <w:ind w:firstLine="0" w:firstLineChars="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2" w:hRule="atLeast"/>
        </w:trPr>
        <w:tc>
          <w:tcPr>
            <w:tcW w:w="1051" w:type="pct"/>
            <w:tcBorders>
              <w:tl2br w:val="nil"/>
              <w:tr2bl w:val="nil"/>
            </w:tcBorders>
            <w:noWrap/>
            <w:vAlign w:val="center"/>
          </w:tcPr>
          <w:p>
            <w:pPr>
              <w:snapToGrid w:val="0"/>
              <w:spacing w:line="240" w:lineRule="auto"/>
              <w:ind w:firstLine="0" w:firstLineChars="0"/>
              <w:jc w:val="center"/>
            </w:pPr>
            <w:r>
              <w:t>总投资</w:t>
            </w:r>
          </w:p>
          <w:p>
            <w:pPr>
              <w:snapToGrid w:val="0"/>
              <w:spacing w:line="240" w:lineRule="auto"/>
              <w:ind w:firstLine="0" w:firstLineChars="0"/>
              <w:jc w:val="center"/>
            </w:pPr>
            <w:r>
              <w:t>(万元)</w:t>
            </w:r>
          </w:p>
        </w:tc>
        <w:tc>
          <w:tcPr>
            <w:tcW w:w="437" w:type="pct"/>
            <w:tcBorders>
              <w:tl2br w:val="nil"/>
              <w:tr2bl w:val="nil"/>
            </w:tcBorders>
            <w:noWrap/>
            <w:vAlign w:val="center"/>
          </w:tcPr>
          <w:p>
            <w:pPr>
              <w:snapToGrid w:val="0"/>
              <w:spacing w:line="240" w:lineRule="auto"/>
              <w:ind w:firstLine="0" w:firstLineChars="0"/>
              <w:jc w:val="center"/>
            </w:pPr>
            <w:r>
              <w:t>600</w:t>
            </w:r>
          </w:p>
        </w:tc>
        <w:tc>
          <w:tcPr>
            <w:tcW w:w="1384" w:type="pct"/>
            <w:gridSpan w:val="2"/>
            <w:tcBorders>
              <w:tl2br w:val="nil"/>
              <w:tr2bl w:val="nil"/>
            </w:tcBorders>
            <w:noWrap/>
            <w:vAlign w:val="center"/>
          </w:tcPr>
          <w:p>
            <w:pPr>
              <w:snapToGrid w:val="0"/>
              <w:spacing w:line="240" w:lineRule="auto"/>
              <w:ind w:firstLine="0" w:firstLineChars="0"/>
              <w:jc w:val="center"/>
            </w:pPr>
            <w:r>
              <w:t>其中：环保投资(万元)</w:t>
            </w:r>
          </w:p>
        </w:tc>
        <w:tc>
          <w:tcPr>
            <w:tcW w:w="580" w:type="pct"/>
            <w:gridSpan w:val="2"/>
            <w:tcBorders>
              <w:tl2br w:val="nil"/>
              <w:tr2bl w:val="nil"/>
            </w:tcBorders>
            <w:noWrap/>
            <w:vAlign w:val="center"/>
          </w:tcPr>
          <w:p>
            <w:pPr>
              <w:snapToGrid w:val="0"/>
              <w:spacing w:line="240" w:lineRule="auto"/>
              <w:ind w:firstLine="0" w:firstLineChars="0"/>
              <w:jc w:val="center"/>
            </w:pPr>
            <w:r>
              <w:t>2</w:t>
            </w:r>
            <w:r>
              <w:rPr>
                <w:rFonts w:hint="eastAsia"/>
              </w:rPr>
              <w:t>3.7</w:t>
            </w:r>
          </w:p>
        </w:tc>
        <w:tc>
          <w:tcPr>
            <w:tcW w:w="1028" w:type="pct"/>
            <w:gridSpan w:val="3"/>
            <w:tcBorders>
              <w:tl2br w:val="nil"/>
              <w:tr2bl w:val="nil"/>
            </w:tcBorders>
            <w:noWrap/>
            <w:vAlign w:val="center"/>
          </w:tcPr>
          <w:p>
            <w:pPr>
              <w:snapToGrid w:val="0"/>
              <w:spacing w:line="240" w:lineRule="auto"/>
              <w:ind w:firstLine="0" w:firstLineChars="0"/>
              <w:jc w:val="center"/>
            </w:pPr>
            <w:r>
              <w:t>环保投资占总投资比例</w:t>
            </w:r>
          </w:p>
        </w:tc>
        <w:tc>
          <w:tcPr>
            <w:tcW w:w="517" w:type="pct"/>
            <w:tcBorders>
              <w:tl2br w:val="nil"/>
              <w:tr2bl w:val="nil"/>
            </w:tcBorders>
            <w:noWrap/>
            <w:vAlign w:val="center"/>
          </w:tcPr>
          <w:p>
            <w:pPr>
              <w:snapToGrid w:val="0"/>
              <w:spacing w:line="240" w:lineRule="auto"/>
              <w:ind w:firstLine="0" w:firstLineChars="0"/>
              <w:jc w:val="center"/>
            </w:pPr>
            <w:r>
              <w:t>3.</w:t>
            </w:r>
            <w:r>
              <w:rPr>
                <w:rFonts w:hint="eastAsia"/>
              </w:rPr>
              <w:t>95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2" w:hRule="atLeast"/>
        </w:trPr>
        <w:tc>
          <w:tcPr>
            <w:tcW w:w="1051" w:type="pct"/>
            <w:tcBorders>
              <w:tl2br w:val="nil"/>
              <w:tr2bl w:val="nil"/>
            </w:tcBorders>
            <w:noWrap/>
            <w:vAlign w:val="center"/>
          </w:tcPr>
          <w:p>
            <w:pPr>
              <w:snapToGrid w:val="0"/>
              <w:spacing w:line="240" w:lineRule="auto"/>
              <w:ind w:firstLine="0" w:firstLineChars="0"/>
              <w:jc w:val="center"/>
            </w:pPr>
            <w:r>
              <w:t>评价经费</w:t>
            </w:r>
          </w:p>
          <w:p>
            <w:pPr>
              <w:snapToGrid w:val="0"/>
              <w:spacing w:line="240" w:lineRule="auto"/>
              <w:ind w:firstLine="0" w:firstLineChars="0"/>
              <w:jc w:val="center"/>
            </w:pPr>
            <w:r>
              <w:t>(万元)</w:t>
            </w:r>
          </w:p>
        </w:tc>
        <w:tc>
          <w:tcPr>
            <w:tcW w:w="437" w:type="pct"/>
            <w:tcBorders>
              <w:tl2br w:val="nil"/>
              <w:tr2bl w:val="nil"/>
            </w:tcBorders>
            <w:noWrap/>
            <w:vAlign w:val="center"/>
          </w:tcPr>
          <w:p>
            <w:pPr>
              <w:snapToGrid w:val="0"/>
              <w:spacing w:line="240" w:lineRule="auto"/>
              <w:ind w:firstLine="0" w:firstLineChars="0"/>
              <w:jc w:val="center"/>
            </w:pPr>
            <w:r>
              <w:t>/</w:t>
            </w:r>
          </w:p>
        </w:tc>
        <w:tc>
          <w:tcPr>
            <w:tcW w:w="1384" w:type="pct"/>
            <w:gridSpan w:val="2"/>
            <w:tcBorders>
              <w:tl2br w:val="nil"/>
              <w:tr2bl w:val="nil"/>
            </w:tcBorders>
            <w:noWrap/>
            <w:vAlign w:val="center"/>
          </w:tcPr>
          <w:p>
            <w:pPr>
              <w:snapToGrid w:val="0"/>
              <w:spacing w:line="240" w:lineRule="auto"/>
              <w:ind w:firstLine="0" w:firstLineChars="0"/>
              <w:jc w:val="center"/>
            </w:pPr>
            <w:r>
              <w:t>投产日期</w:t>
            </w:r>
          </w:p>
        </w:tc>
        <w:tc>
          <w:tcPr>
            <w:tcW w:w="2125" w:type="pct"/>
            <w:gridSpan w:val="6"/>
            <w:tcBorders>
              <w:tl2br w:val="nil"/>
              <w:tr2bl w:val="nil"/>
            </w:tcBorders>
            <w:noWrap/>
            <w:vAlign w:val="center"/>
          </w:tcPr>
          <w:p>
            <w:pPr>
              <w:snapToGrid w:val="0"/>
              <w:spacing w:line="240" w:lineRule="auto"/>
              <w:ind w:firstLine="0" w:firstLineChars="0"/>
              <w:jc w:val="center"/>
            </w:pPr>
            <w:r>
              <w:t>2018年6月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806" w:hRule="atLeast"/>
        </w:trPr>
        <w:tc>
          <w:tcPr>
            <w:tcW w:w="5000" w:type="pct"/>
            <w:gridSpan w:val="10"/>
            <w:tcBorders>
              <w:tl2br w:val="nil"/>
              <w:tr2bl w:val="nil"/>
            </w:tcBorders>
            <w:noWrap/>
            <w:vAlign w:val="center"/>
          </w:tcPr>
          <w:p>
            <w:pPr>
              <w:ind w:firstLine="0" w:firstLineChars="0"/>
            </w:pPr>
            <w:r>
              <w:rPr>
                <w:rFonts w:hint="eastAsia"/>
                <w:b/>
                <w:bCs/>
              </w:rPr>
              <w:t>1、项目背景及由来</w:t>
            </w:r>
          </w:p>
          <w:p>
            <w:pPr>
              <w:ind w:firstLine="560"/>
            </w:pPr>
            <w:r>
              <w:t>近年来，桃江经济快速发展，</w:t>
            </w:r>
            <w:r>
              <w:rPr>
                <w:rFonts w:hint="eastAsia"/>
              </w:rPr>
              <w:t>随着机动车保有量的快速增加，油品的需求也成为市场不可缺少的一部分。</w:t>
            </w:r>
            <w:r>
              <w:t>桃江县鲊埠筑基仑加油点的建设完善了成品油供应网络、服务于人民群众生产生活</w:t>
            </w:r>
            <w:r>
              <w:rPr>
                <w:rFonts w:hint="eastAsia"/>
              </w:rPr>
              <w:t>，可促进桃江经济社会的发展。</w:t>
            </w:r>
          </w:p>
          <w:p>
            <w:pPr>
              <w:ind w:firstLine="560"/>
              <w:rPr>
                <w:u w:val="wave"/>
              </w:rPr>
            </w:pPr>
            <w:r>
              <w:rPr>
                <w:rFonts w:hint="eastAsia"/>
                <w:u w:val="wave"/>
              </w:rPr>
              <w:t>桃江县鲊埠筑基仑加油点2016年开始筹建，未办理环评手续，2018年6月办理了营业执照，经营范围为柴油零售。</w:t>
            </w:r>
            <w:r>
              <w:rPr>
                <w:rFonts w:hint="eastAsia"/>
              </w:rPr>
              <w:t>2020年7月该加油点被桃江县应急管理局下达安全生产行政执法文书/现场处理措施决定书（湘益桃江）应急危化股现决[2020]号，要求立即停止汽油经营行为，并封停了汽油机及相关设施。</w:t>
            </w:r>
            <w:r>
              <w:t>桃江县鲊埠筑基仑加油点</w:t>
            </w:r>
            <w:r>
              <w:rPr>
                <w:rFonts w:hint="eastAsia"/>
              </w:rPr>
              <w:t>为了履行环保责任，申请补办环评手续。</w:t>
            </w:r>
            <w:r>
              <w:t>桃江县鲊埠筑基仑加油点为履行好新时代生态环境保护的主体责任，委托湖南铭越环境科技有限公司编制本加油</w:t>
            </w:r>
            <w:r>
              <w:rPr>
                <w:rFonts w:hint="eastAsia"/>
              </w:rPr>
              <w:t>点</w:t>
            </w:r>
            <w:r>
              <w:t>的环境影响评价文件</w:t>
            </w:r>
            <w:r>
              <w:rPr>
                <w:u w:val="none"/>
              </w:rPr>
              <w:t>。</w:t>
            </w:r>
          </w:p>
          <w:p>
            <w:pPr>
              <w:ind w:firstLine="560"/>
              <w:rPr>
                <w:u w:val="wave"/>
              </w:rPr>
            </w:pPr>
            <w:r>
              <w:rPr>
                <w:rFonts w:hint="eastAsia"/>
                <w:u w:val="wave"/>
              </w:rPr>
              <w:t>本项目属于《建设项目环境影响评价分类管理名录》中的第四十大类（社会事业与服务业）中的第124小类（加油、加气站）该进行环境影响报告表编制的项目。</w:t>
            </w:r>
          </w:p>
          <w:p>
            <w:pPr>
              <w:ind w:firstLine="560"/>
            </w:pPr>
            <w:r>
              <w:t>湖南铭越环境科技有限公司接受委托后，立即组织有关技术人员对项目所在地及周围环境现状进行了实地踏勘，收集相关资料，并在此基础上，依据《中华人民共和国环境保护法》、《中华人民共和国环境影响评价法》、《建设项目环境保护管理条例》和环境影响评价技术导则编制完成了本环境影响报告表。</w:t>
            </w:r>
          </w:p>
          <w:p>
            <w:pPr>
              <w:ind w:firstLine="560"/>
              <w:rPr>
                <w:rFonts w:eastAsiaTheme="minorEastAsia"/>
                <w:u w:val="wave"/>
              </w:rPr>
            </w:pPr>
            <w:r>
              <w:rPr>
                <w:rFonts w:hint="eastAsia"/>
                <w:u w:val="wave"/>
              </w:rPr>
              <w:t>本次评价内容为其营业执照许可的柴油经营（不含汽油），今后加油点升站需经营汽油时，再按规定办理相关手续。</w:t>
            </w:r>
          </w:p>
          <w:p>
            <w:pPr>
              <w:numPr>
                <w:ilvl w:val="0"/>
                <w:numId w:val="3"/>
              </w:numPr>
              <w:ind w:firstLine="0" w:firstLineChars="0"/>
              <w:rPr>
                <w:b/>
                <w:bCs/>
                <w:color w:val="000000"/>
                <w:szCs w:val="28"/>
              </w:rPr>
            </w:pPr>
            <w:r>
              <w:rPr>
                <w:b/>
                <w:bCs/>
                <w:color w:val="000000"/>
                <w:szCs w:val="28"/>
              </w:rPr>
              <w:t>项目概况</w:t>
            </w:r>
          </w:p>
          <w:p>
            <w:pPr>
              <w:ind w:firstLine="560"/>
            </w:pPr>
            <w:r>
              <w:t>项目名称：桃江县鲊埠筑基仑加油点建设项目</w:t>
            </w:r>
          </w:p>
          <w:p>
            <w:pPr>
              <w:ind w:firstLine="560"/>
            </w:pPr>
            <w:r>
              <w:t>建设单位：桃江县鲊埠筑基仑加油点</w:t>
            </w:r>
          </w:p>
          <w:p>
            <w:pPr>
              <w:ind w:firstLine="560"/>
            </w:pPr>
            <w:r>
              <w:t>建设地点：益阳市桃江县鲊埠回族乡鲊埠社区一里街组</w:t>
            </w:r>
          </w:p>
          <w:p>
            <w:pPr>
              <w:ind w:firstLine="560"/>
            </w:pPr>
            <w:r>
              <w:t>中心地理坐标：（111°48′37.07392″E，28°30′42.96398″N）</w:t>
            </w:r>
          </w:p>
          <w:p>
            <w:pPr>
              <w:ind w:firstLine="560"/>
            </w:pPr>
            <w:r>
              <w:t>建设性质：新建（补办环评）</w:t>
            </w:r>
          </w:p>
          <w:p>
            <w:pPr>
              <w:ind w:firstLine="560"/>
            </w:pPr>
            <w:r>
              <w:t>项目投资：600万</w:t>
            </w:r>
          </w:p>
          <w:p>
            <w:pPr>
              <w:ind w:firstLine="560"/>
            </w:pPr>
            <w:r>
              <w:rPr>
                <w:rFonts w:hint="eastAsia"/>
              </w:rPr>
              <w:t>加油点位于桃江县鲊埠回族乡鲊埠社区一里街组，北边、南边为农田，东边、西边为居民。加油点北边为乡道与西面G207相接。</w:t>
            </w:r>
          </w:p>
          <w:p>
            <w:pPr>
              <w:numPr>
                <w:ilvl w:val="0"/>
                <w:numId w:val="3"/>
              </w:numPr>
              <w:ind w:firstLine="0" w:firstLineChars="0"/>
              <w:rPr>
                <w:b/>
                <w:bCs/>
                <w:color w:val="000000"/>
                <w:szCs w:val="28"/>
              </w:rPr>
            </w:pPr>
            <w:r>
              <w:rPr>
                <w:b/>
                <w:bCs/>
                <w:color w:val="000000"/>
                <w:szCs w:val="28"/>
              </w:rPr>
              <w:t>工程规模及内容</w:t>
            </w:r>
          </w:p>
          <w:p>
            <w:pPr>
              <w:ind w:firstLine="560"/>
            </w:pPr>
            <w:r>
              <w:t>本项目总用地面积</w:t>
            </w:r>
            <w:r>
              <w:rPr>
                <w:rFonts w:hint="eastAsia"/>
              </w:rPr>
              <w:t>1453.3</w:t>
            </w:r>
            <w:r>
              <w:t>m</w:t>
            </w:r>
            <w:r>
              <w:rPr>
                <w:vertAlign w:val="superscript"/>
              </w:rPr>
              <w:t>2</w:t>
            </w:r>
            <w:r>
              <w:t>，总建筑面积</w:t>
            </w:r>
            <w:r>
              <w:rPr>
                <w:rFonts w:hint="eastAsia"/>
              </w:rPr>
              <w:t>971.3</w:t>
            </w:r>
            <w:r>
              <w:t>m</w:t>
            </w:r>
            <w:r>
              <w:rPr>
                <w:vertAlign w:val="superscript"/>
              </w:rPr>
              <w:t>2</w:t>
            </w:r>
            <w:r>
              <w:t>，其中站房面积约238m</w:t>
            </w:r>
            <w:r>
              <w:rPr>
                <w:vertAlign w:val="superscript"/>
              </w:rPr>
              <w:t>2</w:t>
            </w:r>
            <w:r>
              <w:t>，罩棚面积693m</w:t>
            </w:r>
            <w:r>
              <w:rPr>
                <w:vertAlign w:val="superscript"/>
              </w:rPr>
              <w:t>2</w:t>
            </w:r>
            <w:r>
              <w:rPr>
                <w:rFonts w:hint="eastAsia"/>
              </w:rPr>
              <w:t>，</w:t>
            </w:r>
            <w:r>
              <w:rPr>
                <w:rFonts w:hint="eastAsia"/>
                <w:u w:val="single"/>
              </w:rPr>
              <w:t>整个加油点地面全部硬化</w:t>
            </w:r>
            <w:r>
              <w:t>。加油</w:t>
            </w:r>
            <w:r>
              <w:rPr>
                <w:rFonts w:hint="eastAsia"/>
              </w:rPr>
              <w:t>点</w:t>
            </w:r>
            <w:r>
              <w:t>设4台潜油泵式加油机</w:t>
            </w:r>
            <w:r>
              <w:rPr>
                <w:rFonts w:hint="eastAsia"/>
              </w:rPr>
              <w:t>（其中2台用作汽油经营的加油机已被封停，未利用；仅使用2台用作柴油经营。）</w:t>
            </w:r>
            <w:r>
              <w:t>，地埋式储油罐4个</w:t>
            </w:r>
            <w:r>
              <w:rPr>
                <w:rFonts w:hint="eastAsia"/>
              </w:rPr>
              <w:t>（目前有2个闲置，仅使用2个储存柴油，容积均为30m</w:t>
            </w:r>
            <w:r>
              <w:rPr>
                <w:rFonts w:hint="eastAsia"/>
                <w:vertAlign w:val="superscript"/>
              </w:rPr>
              <w:t>3</w:t>
            </w:r>
            <w:r>
              <w:rPr>
                <w:rFonts w:hint="eastAsia"/>
              </w:rPr>
              <w:t>）</w:t>
            </w:r>
            <w:r>
              <w:t>。</w:t>
            </w:r>
            <w:r>
              <w:rPr>
                <w:rFonts w:hint="eastAsia"/>
              </w:rPr>
              <w:t>站房有营业厅、财务室、休息室、存储间、食堂、厕所、杂物间、监控室。据建设单位介绍，该加油点建构筑物结构形式、基本功能、耐火等严格遵循《汽车加油加气站设计与施工规范》（GB50156-2012）（2014年版）和《建筑设计防火规范》（GB50016-2014）（2018年版）相关要求，参照执行中国石油《加油站建设标准设计》和加油站建设的有关标准及要求建设。</w:t>
            </w:r>
            <w:r>
              <w:t>根据《汽车加油加气站设计与施工规范》（GB50156-2012</w:t>
            </w:r>
            <w:r>
              <w:rPr>
                <w:rFonts w:hint="eastAsia"/>
              </w:rPr>
              <w:t xml:space="preserve">  2014年版</w:t>
            </w:r>
            <w:r>
              <w:t>）中表3.0.9条加油站的等级划分，三级加油站要求：油罐总容积V</w:t>
            </w:r>
            <w:r>
              <w:rPr>
                <w:rFonts w:hint="eastAsia"/>
              </w:rPr>
              <w:t>≤</w:t>
            </w:r>
            <w:r>
              <w:t>90m</w:t>
            </w:r>
            <w:r>
              <w:rPr>
                <w:vertAlign w:val="superscript"/>
              </w:rPr>
              <w:t>3</w:t>
            </w:r>
            <w:r>
              <w:t>，且单罐容积</w:t>
            </w:r>
            <w:r>
              <w:rPr>
                <w:rFonts w:hint="eastAsia"/>
              </w:rPr>
              <w:t>≤</w:t>
            </w:r>
            <w:r>
              <w:t>30m</w:t>
            </w:r>
            <w:r>
              <w:rPr>
                <w:vertAlign w:val="superscript"/>
              </w:rPr>
              <w:t>3</w:t>
            </w:r>
            <w:r>
              <w:t>（注：柴油罐容积可折半计入油罐总容积）。柴油罐容积按折半计，</w:t>
            </w:r>
            <w:r>
              <w:rPr>
                <w:rFonts w:hint="eastAsia"/>
              </w:rPr>
              <w:t>闲置</w:t>
            </w:r>
            <w:r>
              <w:rPr>
                <w:rFonts w:hint="eastAsia"/>
                <w:lang w:val="en-US" w:eastAsia="zh-CN"/>
              </w:rPr>
              <w:t>油罐</w:t>
            </w:r>
            <w:r>
              <w:rPr>
                <w:rFonts w:hint="eastAsia"/>
              </w:rPr>
              <w:t>的不考虑，油罐总容积为30m</w:t>
            </w:r>
            <w:r>
              <w:rPr>
                <w:rFonts w:hint="eastAsia"/>
                <w:vertAlign w:val="superscript"/>
              </w:rPr>
              <w:t>3</w:t>
            </w:r>
            <w:r>
              <w:rPr>
                <w:rFonts w:hint="eastAsia"/>
              </w:rPr>
              <w:t>，柴油单罐V≤50m</w:t>
            </w:r>
            <w:r>
              <w:rPr>
                <w:rFonts w:hint="eastAsia"/>
                <w:vertAlign w:val="superscript"/>
              </w:rPr>
              <w:t>3</w:t>
            </w:r>
            <w:r>
              <w:t>，因此本项目属于三级加油点。本项目工程建设内容见下表。</w:t>
            </w:r>
          </w:p>
          <w:p>
            <w:pPr>
              <w:spacing w:line="240" w:lineRule="auto"/>
              <w:ind w:firstLine="0" w:firstLineChars="0"/>
              <w:jc w:val="center"/>
              <w:rPr>
                <w:b/>
                <w:color w:val="000000"/>
                <w:sz w:val="21"/>
                <w:shd w:val="clear" w:color="auto" w:fill="FFFFFF"/>
              </w:rPr>
            </w:pPr>
            <w:r>
              <w:rPr>
                <w:b/>
                <w:color w:val="000000"/>
                <w:sz w:val="21"/>
                <w:shd w:val="clear" w:color="auto" w:fill="FFFFFF"/>
              </w:rPr>
              <w:t>表1-1 项目组成一览表</w:t>
            </w:r>
          </w:p>
          <w:tbl>
            <w:tblPr>
              <w:tblStyle w:val="27"/>
              <w:tblW w:w="4996"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800"/>
              <w:gridCol w:w="5508"/>
              <w:gridCol w:w="8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类别</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项目名称</w:t>
                  </w:r>
                </w:p>
              </w:tc>
              <w:tc>
                <w:tcPr>
                  <w:tcW w:w="2943"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工程内容及规模</w:t>
                  </w:r>
                </w:p>
              </w:tc>
              <w:tc>
                <w:tcPr>
                  <w:tcW w:w="463"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主体工程</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加油区罩棚</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rFonts w:hint="eastAsia"/>
                      <w:bCs/>
                      <w:color w:val="000000"/>
                      <w:sz w:val="21"/>
                      <w:u w:val="wave"/>
                      <w:shd w:val="clear" w:color="auto" w:fill="FFFFFF"/>
                    </w:rPr>
                    <w:t>罩棚面积693m</w:t>
                  </w:r>
                  <w:r>
                    <w:rPr>
                      <w:rFonts w:hint="eastAsia"/>
                      <w:bCs/>
                      <w:color w:val="000000"/>
                      <w:sz w:val="21"/>
                      <w:u w:val="wave"/>
                      <w:shd w:val="clear" w:color="auto" w:fill="FFFFFF"/>
                      <w:vertAlign w:val="superscript"/>
                    </w:rPr>
                    <w:t>2</w:t>
                  </w:r>
                  <w:r>
                    <w:rPr>
                      <w:rFonts w:hint="eastAsia"/>
                      <w:bCs/>
                      <w:color w:val="000000"/>
                      <w:sz w:val="21"/>
                      <w:u w:val="wave"/>
                      <w:shd w:val="clear" w:color="auto" w:fill="FFFFFF"/>
                    </w:rPr>
                    <w:t>，罩棚内的构筑物建筑面积为346.5m</w:t>
                  </w:r>
                  <w:r>
                    <w:rPr>
                      <w:rFonts w:hint="eastAsia"/>
                      <w:bCs/>
                      <w:color w:val="000000"/>
                      <w:sz w:val="21"/>
                      <w:u w:val="wave"/>
                      <w:shd w:val="clear" w:color="auto" w:fill="FFFFFF"/>
                      <w:vertAlign w:val="superscript"/>
                    </w:rPr>
                    <w:t>2</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钢结构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加油机</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单枪加油机4台</w:t>
                  </w:r>
                  <w:r>
                    <w:rPr>
                      <w:rStyle w:val="29"/>
                    </w:rPr>
                    <w:t>（其中2台已封停）</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站房</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建筑面积238m</w:t>
                  </w:r>
                  <w:r>
                    <w:rPr>
                      <w:bCs/>
                      <w:sz w:val="21"/>
                      <w:vertAlign w:val="superscript"/>
                    </w:rPr>
                    <w:t>2</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埋地双层储油罐</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30m</w:t>
                  </w:r>
                  <w:r>
                    <w:rPr>
                      <w:bCs/>
                      <w:sz w:val="21"/>
                      <w:vertAlign w:val="superscript"/>
                    </w:rPr>
                    <w:t>3</w:t>
                  </w:r>
                  <w:r>
                    <w:rPr>
                      <w:bCs/>
                      <w:sz w:val="21"/>
                    </w:rPr>
                    <w:t>柴油罐2具（储存0#柴油）；另有2个油罐闲置</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辅助工程</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厕所</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1间位于站点西边</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杂物间</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3间</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公用工程</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供水</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乡镇自来水供给，水源为碧螺水库</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附图1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供电</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市政供电，设置工作接地、防雷、静电接地</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restar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环保工程</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废水处理</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职工与司乘人员生活污水进化粪池，定期清掏；地面冲洗用水进隔油池沉淀，定期清掏用于绿化。</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废气处理</w:t>
                  </w:r>
                </w:p>
              </w:tc>
              <w:tc>
                <w:tcPr>
                  <w:tcW w:w="2943" w:type="pct"/>
                  <w:tcBorders>
                    <w:tl2br w:val="nil"/>
                    <w:tr2bl w:val="nil"/>
                  </w:tcBorders>
                  <w:vAlign w:val="center"/>
                </w:tcPr>
                <w:p>
                  <w:pPr>
                    <w:spacing w:line="240" w:lineRule="auto"/>
                    <w:ind w:firstLine="0" w:firstLineChars="0"/>
                    <w:jc w:val="both"/>
                    <w:rPr>
                      <w:bCs/>
                      <w:color w:val="000000"/>
                      <w:sz w:val="21"/>
                      <w:shd w:val="clear" w:color="auto" w:fill="FFFFFF"/>
                    </w:rPr>
                  </w:pPr>
                  <w:r>
                    <w:rPr>
                      <w:bCs/>
                      <w:color w:val="000000"/>
                      <w:sz w:val="21"/>
                      <w:shd w:val="clear" w:color="auto" w:fill="FFFFFF"/>
                    </w:rPr>
                    <w:t>采用密闭卸油方式、地埋式储油罐、防渗池、自封式加油机</w:t>
                  </w:r>
                  <w:r>
                    <w:rPr>
                      <w:rFonts w:hint="eastAsia"/>
                      <w:bCs/>
                      <w:color w:val="000000"/>
                      <w:sz w:val="21"/>
                      <w:u w:val="single"/>
                      <w:shd w:val="clear" w:color="auto" w:fill="FFFFFF"/>
                    </w:rPr>
                    <w:t>有一次、二次油气回收系统</w:t>
                  </w:r>
                  <w:r>
                    <w:rPr>
                      <w:bCs/>
                      <w:color w:val="000000"/>
                      <w:sz w:val="21"/>
                      <w:shd w:val="clear" w:color="auto" w:fill="FFFFFF"/>
                    </w:rPr>
                    <w:t>，食堂油烟采用家用油烟净化器处理后在楼顶烟囱达标排放。</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噪声防治</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加油</w:t>
                  </w:r>
                  <w:r>
                    <w:rPr>
                      <w:rFonts w:hint="eastAsia"/>
                      <w:bCs/>
                      <w:color w:val="000000"/>
                      <w:sz w:val="21"/>
                      <w:shd w:val="clear" w:color="auto" w:fill="FFFFFF"/>
                    </w:rPr>
                    <w:t>点</w:t>
                  </w:r>
                  <w:r>
                    <w:rPr>
                      <w:bCs/>
                      <w:color w:val="000000"/>
                      <w:sz w:val="21"/>
                      <w:shd w:val="clear" w:color="auto" w:fill="FFFFFF"/>
                    </w:rPr>
                    <w:t>油泵，加油机采用低</w:t>
                  </w:r>
                  <w:r>
                    <w:rPr>
                      <w:rFonts w:hint="eastAsia"/>
                      <w:bCs/>
                      <w:color w:val="000000"/>
                      <w:sz w:val="21"/>
                      <w:shd w:val="clear" w:color="auto" w:fill="FFFFFF"/>
                    </w:rPr>
                    <w:t>噪</w:t>
                  </w:r>
                  <w:r>
                    <w:rPr>
                      <w:bCs/>
                      <w:color w:val="000000"/>
                      <w:sz w:val="21"/>
                      <w:shd w:val="clear" w:color="auto" w:fill="FFFFFF"/>
                    </w:rPr>
                    <w:t>音设备</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固废处理</w:t>
                  </w:r>
                </w:p>
              </w:tc>
              <w:tc>
                <w:tcPr>
                  <w:tcW w:w="2943" w:type="pct"/>
                  <w:tcBorders>
                    <w:tl2br w:val="nil"/>
                    <w:tr2bl w:val="nil"/>
                  </w:tcBorders>
                  <w:vAlign w:val="center"/>
                </w:tcPr>
                <w:p>
                  <w:pPr>
                    <w:spacing w:line="240" w:lineRule="auto"/>
                    <w:ind w:firstLine="0" w:firstLineChars="0"/>
                    <w:jc w:val="both"/>
                    <w:rPr>
                      <w:bCs/>
                      <w:color w:val="000000"/>
                      <w:sz w:val="21"/>
                      <w:shd w:val="clear" w:color="auto" w:fill="FFFFFF"/>
                    </w:rPr>
                  </w:pPr>
                  <w:r>
                    <w:rPr>
                      <w:bCs/>
                      <w:color w:val="000000"/>
                      <w:sz w:val="21"/>
                      <w:shd w:val="clear" w:color="auto" w:fill="FFFFFF"/>
                    </w:rPr>
                    <w:t>设置了1处垃圾收集站，生活垃圾经收集后由当地环卫部门定期统一清运；危险废物暂存于加油点内规范设置的危废桶中，交由</w:t>
                  </w:r>
                  <w:r>
                    <w:rPr>
                      <w:color w:val="000000"/>
                      <w:sz w:val="21"/>
                    </w:rPr>
                    <w:t>益阳绿芯环境资源有限公司</w:t>
                  </w:r>
                  <w:r>
                    <w:rPr>
                      <w:bCs/>
                      <w:color w:val="000000"/>
                      <w:sz w:val="21"/>
                      <w:shd w:val="clear" w:color="auto" w:fill="FFFFFF"/>
                    </w:rPr>
                    <w:t>定期清运处理。</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p>
                  <w:pPr>
                    <w:spacing w:line="240" w:lineRule="auto"/>
                    <w:ind w:firstLine="0" w:firstLineChars="0"/>
                    <w:jc w:val="center"/>
                    <w:rPr>
                      <w:bCs/>
                      <w:color w:val="000000"/>
                      <w:sz w:val="21"/>
                      <w:shd w:val="clear" w:color="auto" w:fill="FFFFFF"/>
                    </w:rPr>
                  </w:pPr>
                  <w:r>
                    <w:rPr>
                      <w:rFonts w:hint="eastAsia"/>
                      <w:bCs/>
                      <w:color w:val="000000"/>
                      <w:sz w:val="21"/>
                      <w:u w:val="single"/>
                      <w:shd w:val="clear" w:color="auto" w:fill="FFFFFF"/>
                    </w:rPr>
                    <w:t>附件9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vMerge w:val="continue"/>
                  <w:tcBorders>
                    <w:tl2br w:val="nil"/>
                    <w:tr2bl w:val="nil"/>
                  </w:tcBorders>
                  <w:vAlign w:val="center"/>
                </w:tcPr>
                <w:p>
                  <w:pPr>
                    <w:spacing w:line="240" w:lineRule="auto"/>
                    <w:ind w:firstLine="0" w:firstLineChars="0"/>
                    <w:jc w:val="center"/>
                    <w:rPr>
                      <w:b/>
                      <w:color w:val="000000"/>
                      <w:sz w:val="21"/>
                      <w:shd w:val="clear" w:color="auto" w:fill="FFFFFF"/>
                    </w:rPr>
                  </w:pPr>
                </w:p>
              </w:tc>
              <w:tc>
                <w:tcPr>
                  <w:tcW w:w="962" w:type="pct"/>
                  <w:tcBorders>
                    <w:tl2br w:val="nil"/>
                    <w:tr2bl w:val="nil"/>
                  </w:tcBorders>
                  <w:vAlign w:val="center"/>
                </w:tcPr>
                <w:p>
                  <w:pPr>
                    <w:spacing w:line="240" w:lineRule="auto"/>
                    <w:ind w:firstLine="0" w:firstLineChars="0"/>
                    <w:jc w:val="center"/>
                  </w:pPr>
                  <w:r>
                    <w:rPr>
                      <w:b/>
                      <w:color w:val="000000"/>
                      <w:sz w:val="21"/>
                      <w:u w:val="single"/>
                      <w:shd w:val="clear" w:color="auto" w:fill="FFFFFF"/>
                    </w:rPr>
                    <w:t>地下水污染防治</w:t>
                  </w:r>
                </w:p>
              </w:tc>
              <w:tc>
                <w:tcPr>
                  <w:tcW w:w="2943" w:type="pct"/>
                  <w:tcBorders>
                    <w:tl2br w:val="nil"/>
                    <w:tr2bl w:val="nil"/>
                  </w:tcBorders>
                  <w:vAlign w:val="center"/>
                </w:tcPr>
                <w:p>
                  <w:pPr>
                    <w:spacing w:line="240" w:lineRule="auto"/>
                    <w:ind w:firstLine="0" w:firstLineChars="0"/>
                    <w:jc w:val="both"/>
                    <w:rPr>
                      <w:kern w:val="21"/>
                    </w:rPr>
                  </w:pPr>
                  <w:r>
                    <w:rPr>
                      <w:bCs/>
                      <w:color w:val="000000"/>
                      <w:sz w:val="21"/>
                      <w:u w:val="single"/>
                      <w:shd w:val="clear" w:color="auto" w:fill="FFFFFF"/>
                    </w:rPr>
                    <w:t>罐区：整体钢筋水泥浇注储罐池；采用钢制双层埋地卧式油罐进行油</w:t>
                  </w:r>
                  <w:r>
                    <w:rPr>
                      <w:rFonts w:hint="eastAsia"/>
                      <w:bCs/>
                      <w:color w:val="000000"/>
                      <w:sz w:val="21"/>
                      <w:u w:val="single"/>
                      <w:shd w:val="clear" w:color="auto" w:fill="FFFFFF"/>
                    </w:rPr>
                    <w:t>品</w:t>
                  </w:r>
                  <w:r>
                    <w:rPr>
                      <w:bCs/>
                      <w:color w:val="000000"/>
                      <w:sz w:val="21"/>
                      <w:u w:val="single"/>
                      <w:shd w:val="clear" w:color="auto" w:fill="FFFFFF"/>
                    </w:rPr>
                    <w:t>的存储；罐区设置一个防渗观测井。输油管线设置暗沟铺设并防渗；加油区地面防渗硬化并设置导流沟渠并防渗。</w:t>
                  </w:r>
                </w:p>
              </w:tc>
              <w:tc>
                <w:tcPr>
                  <w:tcW w:w="463" w:type="pct"/>
                  <w:tcBorders>
                    <w:tl2br w:val="nil"/>
                    <w:tr2bl w:val="nil"/>
                  </w:tcBorders>
                  <w:vAlign w:val="center"/>
                </w:tcPr>
                <w:p>
                  <w:pPr>
                    <w:spacing w:line="240" w:lineRule="auto"/>
                    <w:ind w:firstLine="0" w:firstLineChars="0"/>
                    <w:jc w:val="center"/>
                    <w:rPr>
                      <w:bCs/>
                      <w:color w:val="000000"/>
                      <w:sz w:val="21"/>
                      <w:u w:val="single"/>
                      <w:shd w:val="clear" w:color="auto" w:fill="FFFFFF"/>
                    </w:rPr>
                  </w:pPr>
                  <w:r>
                    <w:rPr>
                      <w:rFonts w:hint="eastAsia"/>
                      <w:bCs/>
                      <w:color w:val="000000"/>
                      <w:sz w:val="21"/>
                      <w:u w:val="single"/>
                      <w:shd w:val="clear" w:color="auto" w:fill="FFFFFF"/>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0"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消防</w:t>
                  </w:r>
                </w:p>
              </w:tc>
              <w:tc>
                <w:tcPr>
                  <w:tcW w:w="962" w:type="pct"/>
                  <w:tcBorders>
                    <w:tl2br w:val="nil"/>
                    <w:tr2bl w:val="nil"/>
                  </w:tcBorders>
                  <w:vAlign w:val="center"/>
                </w:tcPr>
                <w:p>
                  <w:pPr>
                    <w:spacing w:line="240" w:lineRule="auto"/>
                    <w:ind w:firstLine="0" w:firstLineChars="0"/>
                    <w:jc w:val="center"/>
                    <w:rPr>
                      <w:b/>
                      <w:color w:val="000000"/>
                      <w:sz w:val="21"/>
                      <w:shd w:val="clear" w:color="auto" w:fill="FFFFFF"/>
                    </w:rPr>
                  </w:pPr>
                  <w:r>
                    <w:rPr>
                      <w:b/>
                      <w:color w:val="000000"/>
                      <w:sz w:val="21"/>
                      <w:shd w:val="clear" w:color="auto" w:fill="FFFFFF"/>
                    </w:rPr>
                    <w:t>消防器材</w:t>
                  </w:r>
                </w:p>
              </w:tc>
              <w:tc>
                <w:tcPr>
                  <w:tcW w:w="294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设置了手提式干粉灭火器16瓶，每2只灭火器存放于1个灭火器箱内。推车式灭火器有3罐，油罐区设置2罐。站区设置灭火毯2块，置于消防器材箱；2m</w:t>
                  </w:r>
                  <w:r>
                    <w:rPr>
                      <w:bCs/>
                      <w:sz w:val="21"/>
                      <w:vertAlign w:val="superscript"/>
                    </w:rPr>
                    <w:t>3</w:t>
                  </w:r>
                  <w:r>
                    <w:rPr>
                      <w:bCs/>
                      <w:color w:val="000000"/>
                      <w:sz w:val="21"/>
                      <w:shd w:val="clear" w:color="auto" w:fill="FFFFFF"/>
                    </w:rPr>
                    <w:t>消防沙。</w:t>
                  </w:r>
                </w:p>
              </w:tc>
              <w:tc>
                <w:tcPr>
                  <w:tcW w:w="463" w:type="pct"/>
                  <w:tcBorders>
                    <w:tl2br w:val="nil"/>
                    <w:tr2bl w:val="nil"/>
                  </w:tcBorders>
                  <w:vAlign w:val="center"/>
                </w:tcPr>
                <w:p>
                  <w:pPr>
                    <w:spacing w:line="240" w:lineRule="auto"/>
                    <w:ind w:firstLine="0" w:firstLineChars="0"/>
                    <w:jc w:val="center"/>
                    <w:rPr>
                      <w:bCs/>
                      <w:color w:val="000000"/>
                      <w:sz w:val="21"/>
                      <w:shd w:val="clear" w:color="auto" w:fill="FFFFFF"/>
                    </w:rPr>
                  </w:pPr>
                  <w:r>
                    <w:rPr>
                      <w:bCs/>
                      <w:color w:val="000000"/>
                      <w:sz w:val="21"/>
                      <w:shd w:val="clear" w:color="auto" w:fill="FFFFFF"/>
                    </w:rPr>
                    <w:t>已建</w:t>
                  </w:r>
                </w:p>
              </w:tc>
            </w:tr>
          </w:tbl>
          <w:p>
            <w:pPr>
              <w:spacing w:line="240" w:lineRule="auto"/>
              <w:ind w:firstLine="0" w:firstLineChars="0"/>
              <w:jc w:val="center"/>
              <w:rPr>
                <w:b/>
                <w:color w:val="000000"/>
                <w:sz w:val="21"/>
                <w:shd w:val="clear" w:color="auto" w:fill="FFFFFF"/>
              </w:rPr>
            </w:pPr>
            <w:r>
              <w:rPr>
                <w:b/>
                <w:color w:val="000000"/>
                <w:sz w:val="21"/>
                <w:shd w:val="clear" w:color="auto" w:fill="FFFFFF"/>
              </w:rPr>
              <w:t>表1-</w:t>
            </w:r>
            <w:r>
              <w:rPr>
                <w:rFonts w:hint="eastAsia"/>
                <w:b/>
                <w:color w:val="000000"/>
                <w:sz w:val="21"/>
                <w:shd w:val="clear" w:color="auto" w:fill="FFFFFF"/>
              </w:rPr>
              <w:t>2</w:t>
            </w:r>
            <w:r>
              <w:rPr>
                <w:b/>
                <w:color w:val="000000"/>
                <w:sz w:val="21"/>
                <w:shd w:val="clear" w:color="auto" w:fill="FFFFFF"/>
              </w:rPr>
              <w:t xml:space="preserve"> 本项目</w:t>
            </w:r>
            <w:r>
              <w:rPr>
                <w:rFonts w:hint="eastAsia"/>
                <w:b/>
                <w:color w:val="000000"/>
                <w:sz w:val="21"/>
                <w:shd w:val="clear" w:color="auto" w:fill="FFFFFF"/>
              </w:rPr>
              <w:t>主要</w:t>
            </w:r>
            <w:r>
              <w:rPr>
                <w:b/>
                <w:color w:val="000000"/>
                <w:sz w:val="21"/>
                <w:shd w:val="clear" w:color="auto" w:fill="FFFFFF"/>
              </w:rPr>
              <w:t>建（构）筑物一览表</w:t>
            </w:r>
          </w:p>
          <w:tbl>
            <w:tblPr>
              <w:tblStyle w:val="26"/>
              <w:tblW w:w="4989" w:type="pct"/>
              <w:tblInd w:w="17"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272"/>
              <w:gridCol w:w="1848"/>
              <w:gridCol w:w="1823"/>
              <w:gridCol w:w="38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序号</w:t>
                  </w:r>
                </w:p>
              </w:tc>
              <w:tc>
                <w:tcPr>
                  <w:tcW w:w="680" w:type="pct"/>
                  <w:tcBorders>
                    <w:tl2br w:val="nil"/>
                    <w:tr2bl w:val="nil"/>
                  </w:tcBorders>
                  <w:noWrap/>
                  <w:vAlign w:val="center"/>
                </w:tcPr>
                <w:p>
                  <w:pPr>
                    <w:spacing w:line="240" w:lineRule="auto"/>
                    <w:ind w:firstLine="0" w:firstLineChars="0"/>
                    <w:jc w:val="center"/>
                    <w:rPr>
                      <w:b/>
                      <w:bCs/>
                      <w:sz w:val="21"/>
                    </w:rPr>
                  </w:pPr>
                  <w:r>
                    <w:rPr>
                      <w:b/>
                      <w:bCs/>
                      <w:sz w:val="21"/>
                    </w:rPr>
                    <w:t>名称</w:t>
                  </w:r>
                </w:p>
              </w:tc>
              <w:tc>
                <w:tcPr>
                  <w:tcW w:w="989" w:type="pct"/>
                  <w:tcBorders>
                    <w:tl2br w:val="nil"/>
                    <w:tr2bl w:val="nil"/>
                  </w:tcBorders>
                  <w:noWrap/>
                  <w:vAlign w:val="center"/>
                </w:tcPr>
                <w:p>
                  <w:pPr>
                    <w:spacing w:line="240" w:lineRule="auto"/>
                    <w:ind w:firstLine="0" w:firstLineChars="0"/>
                    <w:jc w:val="center"/>
                    <w:rPr>
                      <w:b/>
                      <w:bCs/>
                      <w:sz w:val="21"/>
                    </w:rPr>
                  </w:pPr>
                  <w:r>
                    <w:rPr>
                      <w:b/>
                      <w:bCs/>
                      <w:sz w:val="21"/>
                    </w:rPr>
                    <w:t>规格</w:t>
                  </w:r>
                </w:p>
              </w:tc>
              <w:tc>
                <w:tcPr>
                  <w:tcW w:w="976" w:type="pct"/>
                  <w:tcBorders>
                    <w:tl2br w:val="nil"/>
                    <w:tr2bl w:val="nil"/>
                  </w:tcBorders>
                  <w:noWrap/>
                  <w:vAlign w:val="center"/>
                </w:tcPr>
                <w:p>
                  <w:pPr>
                    <w:spacing w:line="240" w:lineRule="auto"/>
                    <w:ind w:firstLine="0" w:firstLineChars="0"/>
                    <w:jc w:val="center"/>
                    <w:rPr>
                      <w:b/>
                      <w:bCs/>
                      <w:sz w:val="21"/>
                    </w:rPr>
                  </w:pPr>
                  <w:r>
                    <w:rPr>
                      <w:b/>
                      <w:bCs/>
                      <w:sz w:val="21"/>
                    </w:rPr>
                    <w:t>结构型式</w:t>
                  </w:r>
                </w:p>
              </w:tc>
              <w:tc>
                <w:tcPr>
                  <w:tcW w:w="2069" w:type="pct"/>
                  <w:tcBorders>
                    <w:tl2br w:val="nil"/>
                    <w:tr2bl w:val="nil"/>
                  </w:tcBorders>
                  <w:noWrap/>
                  <w:vAlign w:val="center"/>
                </w:tcPr>
                <w:p>
                  <w:pPr>
                    <w:spacing w:line="240" w:lineRule="auto"/>
                    <w:ind w:firstLine="0" w:firstLineChars="0"/>
                    <w:jc w:val="center"/>
                    <w:rPr>
                      <w:b/>
                      <w:bCs/>
                      <w:sz w:val="21"/>
                    </w:rPr>
                  </w:pPr>
                  <w:r>
                    <w:rPr>
                      <w:b/>
                      <w:bCs/>
                      <w:sz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w:t>
                  </w:r>
                </w:p>
              </w:tc>
              <w:tc>
                <w:tcPr>
                  <w:tcW w:w="680" w:type="pct"/>
                  <w:tcBorders>
                    <w:tl2br w:val="nil"/>
                    <w:tr2bl w:val="nil"/>
                  </w:tcBorders>
                  <w:noWrap/>
                  <w:vAlign w:val="center"/>
                </w:tcPr>
                <w:p>
                  <w:pPr>
                    <w:spacing w:line="240" w:lineRule="auto"/>
                    <w:ind w:firstLine="0" w:firstLineChars="0"/>
                    <w:jc w:val="center"/>
                    <w:rPr>
                      <w:sz w:val="21"/>
                    </w:rPr>
                  </w:pPr>
                  <w:r>
                    <w:rPr>
                      <w:sz w:val="21"/>
                    </w:rPr>
                    <w:t>加油站房</w:t>
                  </w:r>
                </w:p>
              </w:tc>
              <w:tc>
                <w:tcPr>
                  <w:tcW w:w="989" w:type="pct"/>
                  <w:tcBorders>
                    <w:tl2br w:val="nil"/>
                    <w:tr2bl w:val="nil"/>
                  </w:tcBorders>
                  <w:noWrap/>
                  <w:vAlign w:val="center"/>
                </w:tcPr>
                <w:p>
                  <w:pPr>
                    <w:spacing w:line="240" w:lineRule="auto"/>
                    <w:ind w:firstLine="0" w:firstLineChars="0"/>
                    <w:jc w:val="center"/>
                    <w:rPr>
                      <w:sz w:val="21"/>
                    </w:rPr>
                  </w:pPr>
                  <w:r>
                    <w:rPr>
                      <w:sz w:val="21"/>
                    </w:rPr>
                    <w:t>总高度5.0 m</w:t>
                  </w:r>
                </w:p>
              </w:tc>
              <w:tc>
                <w:tcPr>
                  <w:tcW w:w="976" w:type="pct"/>
                  <w:tcBorders>
                    <w:tl2br w:val="nil"/>
                    <w:tr2bl w:val="nil"/>
                  </w:tcBorders>
                  <w:noWrap/>
                  <w:vAlign w:val="center"/>
                </w:tcPr>
                <w:p>
                  <w:pPr>
                    <w:spacing w:line="240" w:lineRule="auto"/>
                    <w:ind w:firstLine="0" w:firstLineChars="0"/>
                    <w:jc w:val="center"/>
                    <w:rPr>
                      <w:sz w:val="21"/>
                    </w:rPr>
                  </w:pPr>
                  <w:r>
                    <w:rPr>
                      <w:sz w:val="21"/>
                    </w:rPr>
                    <w:t>两层，砖混结构</w:t>
                  </w:r>
                </w:p>
              </w:tc>
              <w:tc>
                <w:tcPr>
                  <w:tcW w:w="2069" w:type="pct"/>
                  <w:tcBorders>
                    <w:tl2br w:val="nil"/>
                    <w:tr2bl w:val="nil"/>
                  </w:tcBorders>
                  <w:noWrap/>
                  <w:vAlign w:val="center"/>
                </w:tcPr>
                <w:p>
                  <w:pPr>
                    <w:spacing w:line="240" w:lineRule="auto"/>
                    <w:ind w:firstLine="0" w:firstLineChars="0"/>
                    <w:rPr>
                      <w:sz w:val="21"/>
                      <w:vertAlign w:val="superscript"/>
                    </w:rPr>
                  </w:pPr>
                  <w:r>
                    <w:rPr>
                      <w:sz w:val="21"/>
                    </w:rPr>
                    <w:t>建筑面积238m</w:t>
                  </w:r>
                  <w:r>
                    <w:rPr>
                      <w:sz w:val="21"/>
                      <w:vertAlign w:val="superscript"/>
                    </w:rPr>
                    <w:t xml:space="preserve">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2</w:t>
                  </w:r>
                </w:p>
              </w:tc>
              <w:tc>
                <w:tcPr>
                  <w:tcW w:w="680" w:type="pct"/>
                  <w:tcBorders>
                    <w:tl2br w:val="nil"/>
                    <w:tr2bl w:val="nil"/>
                  </w:tcBorders>
                  <w:noWrap/>
                  <w:vAlign w:val="center"/>
                </w:tcPr>
                <w:p>
                  <w:pPr>
                    <w:spacing w:line="240" w:lineRule="auto"/>
                    <w:ind w:firstLine="0" w:firstLineChars="0"/>
                    <w:jc w:val="center"/>
                    <w:rPr>
                      <w:sz w:val="21"/>
                    </w:rPr>
                  </w:pPr>
                  <w:r>
                    <w:rPr>
                      <w:sz w:val="21"/>
                    </w:rPr>
                    <w:t>加油罩棚</w:t>
                  </w:r>
                  <w:r>
                    <w:rPr>
                      <w:rFonts w:hint="eastAsia"/>
                      <w:sz w:val="21"/>
                    </w:rPr>
                    <w:t>内构筑物</w:t>
                  </w:r>
                </w:p>
              </w:tc>
              <w:tc>
                <w:tcPr>
                  <w:tcW w:w="989" w:type="pct"/>
                  <w:tcBorders>
                    <w:tl2br w:val="nil"/>
                    <w:tr2bl w:val="nil"/>
                  </w:tcBorders>
                  <w:noWrap/>
                  <w:vAlign w:val="center"/>
                </w:tcPr>
                <w:p>
                  <w:pPr>
                    <w:spacing w:line="240" w:lineRule="auto"/>
                    <w:ind w:firstLine="0" w:firstLineChars="0"/>
                    <w:jc w:val="center"/>
                    <w:rPr>
                      <w:sz w:val="21"/>
                    </w:rPr>
                  </w:pPr>
                  <w:r>
                    <w:rPr>
                      <w:sz w:val="21"/>
                    </w:rPr>
                    <w:t>罩棚柱高6.0m</w:t>
                  </w:r>
                </w:p>
              </w:tc>
              <w:tc>
                <w:tcPr>
                  <w:tcW w:w="976" w:type="pct"/>
                  <w:tcBorders>
                    <w:tl2br w:val="nil"/>
                    <w:tr2bl w:val="nil"/>
                  </w:tcBorders>
                  <w:noWrap/>
                  <w:vAlign w:val="center"/>
                </w:tcPr>
                <w:p>
                  <w:pPr>
                    <w:spacing w:line="240" w:lineRule="auto"/>
                    <w:ind w:firstLine="0" w:firstLineChars="0"/>
                    <w:jc w:val="center"/>
                    <w:rPr>
                      <w:sz w:val="21"/>
                    </w:rPr>
                  </w:pPr>
                  <w:r>
                    <w:rPr>
                      <w:sz w:val="21"/>
                    </w:rPr>
                    <w:t>型钢结构</w:t>
                  </w:r>
                </w:p>
              </w:tc>
              <w:tc>
                <w:tcPr>
                  <w:tcW w:w="2069" w:type="pct"/>
                  <w:tcBorders>
                    <w:tl2br w:val="nil"/>
                    <w:tr2bl w:val="nil"/>
                  </w:tcBorders>
                  <w:noWrap/>
                  <w:vAlign w:val="center"/>
                </w:tcPr>
                <w:p>
                  <w:pPr>
                    <w:spacing w:line="240" w:lineRule="auto"/>
                    <w:ind w:firstLine="0" w:firstLineChars="0"/>
                    <w:rPr>
                      <w:sz w:val="21"/>
                      <w:vertAlign w:val="superscript"/>
                    </w:rPr>
                  </w:pPr>
                  <w:r>
                    <w:rPr>
                      <w:sz w:val="21"/>
                    </w:rPr>
                    <w:t>建筑面积346.5m</w:t>
                  </w:r>
                  <w:r>
                    <w:rPr>
                      <w:sz w:val="21"/>
                      <w:vertAlign w:val="superscript"/>
                    </w:rPr>
                    <w:t xml:space="preserve">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3</w:t>
                  </w:r>
                </w:p>
              </w:tc>
              <w:tc>
                <w:tcPr>
                  <w:tcW w:w="680" w:type="pct"/>
                  <w:tcBorders>
                    <w:tl2br w:val="nil"/>
                    <w:tr2bl w:val="nil"/>
                  </w:tcBorders>
                  <w:noWrap/>
                  <w:vAlign w:val="center"/>
                </w:tcPr>
                <w:p>
                  <w:pPr>
                    <w:spacing w:line="240" w:lineRule="auto"/>
                    <w:ind w:firstLine="0" w:firstLineChars="0"/>
                    <w:jc w:val="center"/>
                    <w:rPr>
                      <w:sz w:val="21"/>
                    </w:rPr>
                  </w:pPr>
                  <w:r>
                    <w:rPr>
                      <w:sz w:val="21"/>
                    </w:rPr>
                    <w:t>围墙</w:t>
                  </w:r>
                </w:p>
              </w:tc>
              <w:tc>
                <w:tcPr>
                  <w:tcW w:w="989" w:type="pct"/>
                  <w:tcBorders>
                    <w:tl2br w:val="nil"/>
                    <w:tr2bl w:val="nil"/>
                  </w:tcBorders>
                  <w:noWrap/>
                  <w:vAlign w:val="center"/>
                </w:tcPr>
                <w:p>
                  <w:pPr>
                    <w:spacing w:line="240" w:lineRule="auto"/>
                    <w:ind w:firstLine="0" w:firstLineChars="0"/>
                    <w:jc w:val="center"/>
                    <w:rPr>
                      <w:sz w:val="21"/>
                    </w:rPr>
                  </w:pPr>
                  <w:r>
                    <w:rPr>
                      <w:sz w:val="21"/>
                    </w:rPr>
                    <w:t>地面以上2.2m高非燃烧实体围墙</w:t>
                  </w:r>
                </w:p>
              </w:tc>
              <w:tc>
                <w:tcPr>
                  <w:tcW w:w="976" w:type="pct"/>
                  <w:tcBorders>
                    <w:tl2br w:val="nil"/>
                    <w:tr2bl w:val="nil"/>
                  </w:tcBorders>
                  <w:noWrap/>
                  <w:vAlign w:val="center"/>
                </w:tcPr>
                <w:p>
                  <w:pPr>
                    <w:spacing w:line="240" w:lineRule="auto"/>
                    <w:ind w:firstLine="0" w:firstLineChars="0"/>
                    <w:jc w:val="center"/>
                    <w:rPr>
                      <w:sz w:val="21"/>
                    </w:rPr>
                  </w:pPr>
                  <w:r>
                    <w:rPr>
                      <w:sz w:val="21"/>
                    </w:rPr>
                    <w:t>砖混</w:t>
                  </w:r>
                </w:p>
              </w:tc>
              <w:tc>
                <w:tcPr>
                  <w:tcW w:w="2069" w:type="pct"/>
                  <w:tcBorders>
                    <w:tl2br w:val="nil"/>
                    <w:tr2bl w:val="nil"/>
                  </w:tcBorders>
                  <w:noWrap/>
                  <w:vAlign w:val="center"/>
                </w:tcPr>
                <w:p>
                  <w:pPr>
                    <w:spacing w:line="240" w:lineRule="auto"/>
                    <w:ind w:firstLine="0" w:firstLineChars="0"/>
                    <w:rPr>
                      <w:sz w:val="21"/>
                    </w:rPr>
                  </w:pPr>
                  <w:r>
                    <w:rPr>
                      <w:sz w:val="21"/>
                    </w:rPr>
                    <w:t>除北边面向道路侧外，其他三侧沿用地红线设置围墙。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4</w:t>
                  </w:r>
                </w:p>
              </w:tc>
              <w:tc>
                <w:tcPr>
                  <w:tcW w:w="680" w:type="pct"/>
                  <w:tcBorders>
                    <w:tl2br w:val="nil"/>
                    <w:tr2bl w:val="nil"/>
                  </w:tcBorders>
                  <w:noWrap/>
                  <w:vAlign w:val="center"/>
                </w:tcPr>
                <w:p>
                  <w:pPr>
                    <w:spacing w:line="240" w:lineRule="auto"/>
                    <w:ind w:firstLine="0" w:firstLineChars="0"/>
                    <w:jc w:val="center"/>
                    <w:rPr>
                      <w:sz w:val="21"/>
                    </w:rPr>
                  </w:pPr>
                  <w:r>
                    <w:rPr>
                      <w:sz w:val="21"/>
                    </w:rPr>
                    <w:t>加油机</w:t>
                  </w:r>
                </w:p>
              </w:tc>
              <w:tc>
                <w:tcPr>
                  <w:tcW w:w="989" w:type="pct"/>
                  <w:tcBorders>
                    <w:tl2br w:val="nil"/>
                    <w:tr2bl w:val="nil"/>
                  </w:tcBorders>
                  <w:noWrap/>
                  <w:vAlign w:val="center"/>
                </w:tcPr>
                <w:p>
                  <w:pPr>
                    <w:spacing w:line="240" w:lineRule="auto"/>
                    <w:ind w:firstLine="0" w:firstLineChars="0"/>
                    <w:jc w:val="center"/>
                    <w:rPr>
                      <w:sz w:val="21"/>
                    </w:rPr>
                  </w:pPr>
                  <w:r>
                    <w:rPr>
                      <w:sz w:val="21"/>
                    </w:rPr>
                    <w:t>4个</w:t>
                  </w:r>
                </w:p>
              </w:tc>
              <w:tc>
                <w:tcPr>
                  <w:tcW w:w="976" w:type="pct"/>
                  <w:tcBorders>
                    <w:tl2br w:val="nil"/>
                    <w:tr2bl w:val="nil"/>
                  </w:tcBorders>
                  <w:noWrap/>
                  <w:vAlign w:val="center"/>
                </w:tcPr>
                <w:p>
                  <w:pPr>
                    <w:spacing w:line="240" w:lineRule="auto"/>
                    <w:ind w:firstLine="0" w:firstLineChars="0"/>
                    <w:jc w:val="center"/>
                    <w:rPr>
                      <w:sz w:val="21"/>
                    </w:rPr>
                  </w:pPr>
                  <w:r>
                    <w:rPr>
                      <w:sz w:val="21"/>
                    </w:rPr>
                    <w:t>中油标准</w:t>
                  </w:r>
                </w:p>
              </w:tc>
              <w:tc>
                <w:tcPr>
                  <w:tcW w:w="2069" w:type="pct"/>
                  <w:tcBorders>
                    <w:tl2br w:val="nil"/>
                    <w:tr2bl w:val="nil"/>
                  </w:tcBorders>
                  <w:noWrap/>
                  <w:vAlign w:val="center"/>
                </w:tcPr>
                <w:p>
                  <w:pPr>
                    <w:spacing w:line="240" w:lineRule="auto"/>
                    <w:ind w:firstLine="0" w:firstLineChars="0"/>
                    <w:rPr>
                      <w:sz w:val="21"/>
                    </w:rPr>
                  </w:pPr>
                  <w:r>
                    <w:rPr>
                      <w:spacing w:val="4"/>
                      <w:sz w:val="21"/>
                    </w:rPr>
                    <w:t>4台双枪潜油泵型加油机</w:t>
                  </w:r>
                  <w:r>
                    <w:rPr>
                      <w:rFonts w:hint="eastAsia"/>
                      <w:spacing w:val="4"/>
                      <w:sz w:val="21"/>
                    </w:rPr>
                    <w:t>，其中2台已封机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5</w:t>
                  </w:r>
                </w:p>
              </w:tc>
              <w:tc>
                <w:tcPr>
                  <w:tcW w:w="680" w:type="pct"/>
                  <w:tcBorders>
                    <w:tl2br w:val="nil"/>
                    <w:tr2bl w:val="nil"/>
                  </w:tcBorders>
                  <w:noWrap/>
                  <w:vAlign w:val="center"/>
                </w:tcPr>
                <w:p>
                  <w:pPr>
                    <w:snapToGrid w:val="0"/>
                    <w:spacing w:line="240" w:lineRule="auto"/>
                    <w:ind w:firstLine="0" w:firstLineChars="0"/>
                    <w:jc w:val="center"/>
                    <w:rPr>
                      <w:sz w:val="21"/>
                    </w:rPr>
                  </w:pPr>
                  <w:r>
                    <w:rPr>
                      <w:sz w:val="21"/>
                    </w:rPr>
                    <w:t>加油岛</w:t>
                  </w:r>
                </w:p>
              </w:tc>
              <w:tc>
                <w:tcPr>
                  <w:tcW w:w="989" w:type="pct"/>
                  <w:tcBorders>
                    <w:tl2br w:val="nil"/>
                    <w:tr2bl w:val="nil"/>
                  </w:tcBorders>
                  <w:noWrap/>
                  <w:vAlign w:val="center"/>
                </w:tcPr>
                <w:p>
                  <w:pPr>
                    <w:snapToGrid w:val="0"/>
                    <w:spacing w:line="240" w:lineRule="auto"/>
                    <w:ind w:firstLine="0" w:firstLineChars="0"/>
                    <w:jc w:val="center"/>
                    <w:rPr>
                      <w:sz w:val="21"/>
                    </w:rPr>
                  </w:pPr>
                  <w:r>
                    <w:rPr>
                      <w:sz w:val="21"/>
                    </w:rPr>
                    <w:t>4个</w:t>
                  </w:r>
                </w:p>
              </w:tc>
              <w:tc>
                <w:tcPr>
                  <w:tcW w:w="976" w:type="pct"/>
                  <w:tcBorders>
                    <w:tl2br w:val="nil"/>
                    <w:tr2bl w:val="nil"/>
                  </w:tcBorders>
                  <w:noWrap/>
                  <w:vAlign w:val="center"/>
                </w:tcPr>
                <w:p>
                  <w:pPr>
                    <w:snapToGrid w:val="0"/>
                    <w:spacing w:line="240" w:lineRule="auto"/>
                    <w:ind w:firstLine="0" w:firstLineChars="0"/>
                    <w:jc w:val="center"/>
                    <w:rPr>
                      <w:sz w:val="21"/>
                    </w:rPr>
                  </w:pPr>
                  <w:r>
                    <w:rPr>
                      <w:sz w:val="21"/>
                    </w:rPr>
                    <w:t>单柱</w:t>
                  </w:r>
                </w:p>
              </w:tc>
              <w:tc>
                <w:tcPr>
                  <w:tcW w:w="2069" w:type="pct"/>
                  <w:tcBorders>
                    <w:tl2br w:val="nil"/>
                    <w:tr2bl w:val="nil"/>
                  </w:tcBorders>
                  <w:noWrap/>
                  <w:vAlign w:val="center"/>
                </w:tcPr>
                <w:p>
                  <w:pPr>
                    <w:spacing w:line="240" w:lineRule="auto"/>
                    <w:ind w:firstLine="0" w:firstLineChars="0"/>
                    <w:rPr>
                      <w:sz w:val="21"/>
                    </w:rPr>
                  </w:pPr>
                  <w:r>
                    <w:rPr>
                      <w:sz w:val="21"/>
                    </w:rPr>
                    <w:t>单柱岛4个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6</w:t>
                  </w:r>
                </w:p>
              </w:tc>
              <w:tc>
                <w:tcPr>
                  <w:tcW w:w="680" w:type="pct"/>
                  <w:tcBorders>
                    <w:tl2br w:val="nil"/>
                    <w:tr2bl w:val="nil"/>
                  </w:tcBorders>
                  <w:noWrap/>
                  <w:vAlign w:val="center"/>
                </w:tcPr>
                <w:p>
                  <w:pPr>
                    <w:spacing w:line="240" w:lineRule="auto"/>
                    <w:ind w:firstLine="0" w:firstLineChars="0"/>
                    <w:jc w:val="center"/>
                    <w:rPr>
                      <w:sz w:val="21"/>
                    </w:rPr>
                  </w:pPr>
                  <w:r>
                    <w:rPr>
                      <w:sz w:val="21"/>
                    </w:rPr>
                    <w:t>营业厅</w:t>
                  </w:r>
                </w:p>
              </w:tc>
              <w:tc>
                <w:tcPr>
                  <w:tcW w:w="989" w:type="pct"/>
                  <w:tcBorders>
                    <w:tl2br w:val="nil"/>
                    <w:tr2bl w:val="nil"/>
                  </w:tcBorders>
                  <w:noWrap/>
                  <w:vAlign w:val="center"/>
                </w:tcPr>
                <w:p>
                  <w:pPr>
                    <w:spacing w:line="240" w:lineRule="auto"/>
                    <w:ind w:firstLine="0" w:firstLineChars="0"/>
                    <w:jc w:val="center"/>
                    <w:rPr>
                      <w:color w:val="000000"/>
                      <w:spacing w:val="-7"/>
                      <w:position w:val="-1"/>
                      <w:sz w:val="21"/>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建筑面积64m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7</w:t>
                  </w:r>
                </w:p>
              </w:tc>
              <w:tc>
                <w:tcPr>
                  <w:tcW w:w="680" w:type="pct"/>
                  <w:tcBorders>
                    <w:tl2br w:val="nil"/>
                    <w:tr2bl w:val="nil"/>
                  </w:tcBorders>
                  <w:noWrap/>
                  <w:vAlign w:val="center"/>
                </w:tcPr>
                <w:p>
                  <w:pPr>
                    <w:spacing w:line="240" w:lineRule="auto"/>
                    <w:ind w:firstLine="0" w:firstLineChars="0"/>
                    <w:jc w:val="center"/>
                    <w:rPr>
                      <w:sz w:val="21"/>
                    </w:rPr>
                  </w:pPr>
                  <w:r>
                    <w:rPr>
                      <w:sz w:val="21"/>
                    </w:rPr>
                    <w:t>财务室</w:t>
                  </w:r>
                </w:p>
              </w:tc>
              <w:tc>
                <w:tcPr>
                  <w:tcW w:w="989" w:type="pct"/>
                  <w:tcBorders>
                    <w:tl2br w:val="nil"/>
                    <w:tr2bl w:val="nil"/>
                  </w:tcBorders>
                  <w:noWrap/>
                  <w:vAlign w:val="center"/>
                </w:tcPr>
                <w:p>
                  <w:pPr>
                    <w:spacing w:line="240" w:lineRule="auto"/>
                    <w:ind w:firstLine="0" w:firstLineChars="0"/>
                    <w:jc w:val="center"/>
                    <w:rPr>
                      <w:bCs/>
                      <w:sz w:val="21"/>
                      <w:highlight w:val="yellow"/>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建筑面积20m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8</w:t>
                  </w:r>
                </w:p>
              </w:tc>
              <w:tc>
                <w:tcPr>
                  <w:tcW w:w="680" w:type="pct"/>
                  <w:tcBorders>
                    <w:tl2br w:val="nil"/>
                    <w:tr2bl w:val="nil"/>
                  </w:tcBorders>
                  <w:noWrap/>
                  <w:vAlign w:val="center"/>
                </w:tcPr>
                <w:p>
                  <w:pPr>
                    <w:spacing w:line="240" w:lineRule="auto"/>
                    <w:ind w:firstLine="0" w:firstLineChars="0"/>
                    <w:jc w:val="center"/>
                    <w:rPr>
                      <w:sz w:val="21"/>
                    </w:rPr>
                  </w:pPr>
                  <w:r>
                    <w:rPr>
                      <w:sz w:val="21"/>
                    </w:rPr>
                    <w:t>杂物间</w:t>
                  </w:r>
                </w:p>
              </w:tc>
              <w:tc>
                <w:tcPr>
                  <w:tcW w:w="989" w:type="pct"/>
                  <w:tcBorders>
                    <w:tl2br w:val="nil"/>
                    <w:tr2bl w:val="nil"/>
                  </w:tcBorders>
                  <w:noWrap/>
                  <w:vAlign w:val="center"/>
                </w:tcPr>
                <w:p>
                  <w:pPr>
                    <w:spacing w:line="240" w:lineRule="auto"/>
                    <w:ind w:firstLine="0" w:firstLineChars="0"/>
                    <w:jc w:val="center"/>
                    <w:rPr>
                      <w:bCs/>
                      <w:sz w:val="21"/>
                      <w:highlight w:val="yellow"/>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营业厅东、西侧，建筑面积48m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9</w:t>
                  </w:r>
                </w:p>
              </w:tc>
              <w:tc>
                <w:tcPr>
                  <w:tcW w:w="680" w:type="pct"/>
                  <w:tcBorders>
                    <w:tl2br w:val="nil"/>
                    <w:tr2bl w:val="nil"/>
                  </w:tcBorders>
                  <w:noWrap/>
                  <w:vAlign w:val="center"/>
                </w:tcPr>
                <w:p>
                  <w:pPr>
                    <w:spacing w:line="240" w:lineRule="auto"/>
                    <w:ind w:firstLine="0" w:firstLineChars="0"/>
                    <w:jc w:val="center"/>
                    <w:rPr>
                      <w:spacing w:val="4"/>
                      <w:sz w:val="21"/>
                    </w:rPr>
                  </w:pPr>
                  <w:r>
                    <w:rPr>
                      <w:spacing w:val="4"/>
                      <w:sz w:val="21"/>
                    </w:rPr>
                    <w:t>值班室</w:t>
                  </w:r>
                </w:p>
              </w:tc>
              <w:tc>
                <w:tcPr>
                  <w:tcW w:w="989" w:type="pct"/>
                  <w:tcBorders>
                    <w:tl2br w:val="nil"/>
                    <w:tr2bl w:val="nil"/>
                  </w:tcBorders>
                  <w:noWrap/>
                  <w:vAlign w:val="center"/>
                </w:tcPr>
                <w:p>
                  <w:pPr>
                    <w:spacing w:line="240" w:lineRule="auto"/>
                    <w:ind w:firstLine="0" w:firstLineChars="0"/>
                    <w:jc w:val="center"/>
                    <w:rPr>
                      <w:sz w:val="21"/>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建筑面积20m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10</w:t>
                  </w:r>
                </w:p>
              </w:tc>
              <w:tc>
                <w:tcPr>
                  <w:tcW w:w="680" w:type="pct"/>
                  <w:tcBorders>
                    <w:tl2br w:val="nil"/>
                    <w:tr2bl w:val="nil"/>
                  </w:tcBorders>
                  <w:noWrap/>
                  <w:vAlign w:val="center"/>
                </w:tcPr>
                <w:p>
                  <w:pPr>
                    <w:pStyle w:val="24"/>
                    <w:widowControl w:val="0"/>
                    <w:adjustRightInd/>
                    <w:spacing w:line="240" w:lineRule="auto"/>
                    <w:ind w:firstLine="0" w:firstLineChars="0"/>
                    <w:jc w:val="center"/>
                    <w:rPr>
                      <w:kern w:val="2"/>
                      <w:sz w:val="21"/>
                    </w:rPr>
                  </w:pPr>
                  <w:r>
                    <w:rPr>
                      <w:kern w:val="2"/>
                      <w:sz w:val="21"/>
                    </w:rPr>
                    <w:t>休息室</w:t>
                  </w:r>
                </w:p>
              </w:tc>
              <w:tc>
                <w:tcPr>
                  <w:tcW w:w="989" w:type="pct"/>
                  <w:tcBorders>
                    <w:tl2br w:val="nil"/>
                    <w:tr2bl w:val="nil"/>
                  </w:tcBorders>
                  <w:noWrap/>
                  <w:vAlign w:val="center"/>
                </w:tcPr>
                <w:p>
                  <w:pPr>
                    <w:spacing w:line="240" w:lineRule="auto"/>
                    <w:ind w:firstLine="0" w:firstLineChars="0"/>
                    <w:jc w:val="center"/>
                    <w:rPr>
                      <w:sz w:val="21"/>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营业厅东、西侧，建筑面积40m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11</w:t>
                  </w:r>
                </w:p>
              </w:tc>
              <w:tc>
                <w:tcPr>
                  <w:tcW w:w="680" w:type="pct"/>
                  <w:tcBorders>
                    <w:tl2br w:val="nil"/>
                    <w:tr2bl w:val="nil"/>
                  </w:tcBorders>
                  <w:noWrap/>
                  <w:vAlign w:val="center"/>
                </w:tcPr>
                <w:p>
                  <w:pPr>
                    <w:pStyle w:val="24"/>
                    <w:widowControl w:val="0"/>
                    <w:adjustRightInd/>
                    <w:spacing w:line="240" w:lineRule="auto"/>
                    <w:ind w:firstLine="0" w:firstLineChars="0"/>
                    <w:jc w:val="center"/>
                    <w:rPr>
                      <w:kern w:val="2"/>
                      <w:sz w:val="21"/>
                    </w:rPr>
                  </w:pPr>
                  <w:r>
                    <w:rPr>
                      <w:kern w:val="2"/>
                      <w:sz w:val="21"/>
                    </w:rPr>
                    <w:t>存储间</w:t>
                  </w:r>
                </w:p>
              </w:tc>
              <w:tc>
                <w:tcPr>
                  <w:tcW w:w="989" w:type="pct"/>
                  <w:tcBorders>
                    <w:tl2br w:val="nil"/>
                    <w:tr2bl w:val="nil"/>
                  </w:tcBorders>
                  <w:noWrap/>
                  <w:vAlign w:val="center"/>
                </w:tcPr>
                <w:p>
                  <w:pPr>
                    <w:spacing w:line="240" w:lineRule="auto"/>
                    <w:ind w:firstLine="0" w:firstLineChars="0"/>
                    <w:jc w:val="center"/>
                    <w:rPr>
                      <w:sz w:val="21"/>
                    </w:rPr>
                  </w:pPr>
                  <w:r>
                    <w:rPr>
                      <w:color w:val="000000"/>
                      <w:spacing w:val="-7"/>
                      <w:position w:val="-1"/>
                      <w:sz w:val="21"/>
                    </w:rPr>
                    <w:t>总高度4m</w:t>
                  </w:r>
                </w:p>
              </w:tc>
              <w:tc>
                <w:tcPr>
                  <w:tcW w:w="976" w:type="pct"/>
                  <w:tcBorders>
                    <w:tl2br w:val="nil"/>
                    <w:tr2bl w:val="nil"/>
                  </w:tcBorders>
                  <w:noWrap/>
                  <w:vAlign w:val="center"/>
                </w:tcPr>
                <w:p>
                  <w:pPr>
                    <w:spacing w:line="240" w:lineRule="auto"/>
                    <w:ind w:firstLine="0" w:firstLineChars="0"/>
                    <w:jc w:val="center"/>
                    <w:rPr>
                      <w:sz w:val="21"/>
                    </w:rPr>
                  </w:pPr>
                  <w:r>
                    <w:rPr>
                      <w:sz w:val="21"/>
                    </w:rPr>
                    <w:t>一层，砖混结构</w:t>
                  </w:r>
                </w:p>
              </w:tc>
              <w:tc>
                <w:tcPr>
                  <w:tcW w:w="2069" w:type="pct"/>
                  <w:tcBorders>
                    <w:tl2br w:val="nil"/>
                    <w:tr2bl w:val="nil"/>
                  </w:tcBorders>
                  <w:noWrap/>
                  <w:vAlign w:val="center"/>
                </w:tcPr>
                <w:p>
                  <w:pPr>
                    <w:spacing w:line="240" w:lineRule="auto"/>
                    <w:ind w:firstLine="0" w:firstLineChars="0"/>
                    <w:rPr>
                      <w:sz w:val="21"/>
                    </w:rPr>
                  </w:pPr>
                  <w:r>
                    <w:rPr>
                      <w:sz w:val="21"/>
                    </w:rPr>
                    <w:t>建筑面积15m</w:t>
                  </w:r>
                  <w:r>
                    <w:rPr>
                      <w:sz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12</w:t>
                  </w:r>
                </w:p>
              </w:tc>
              <w:tc>
                <w:tcPr>
                  <w:tcW w:w="680" w:type="pct"/>
                  <w:tcBorders>
                    <w:tl2br w:val="nil"/>
                    <w:tr2bl w:val="nil"/>
                  </w:tcBorders>
                  <w:noWrap/>
                  <w:vAlign w:val="center"/>
                </w:tcPr>
                <w:p>
                  <w:pPr>
                    <w:spacing w:line="240" w:lineRule="auto"/>
                    <w:ind w:firstLine="0" w:firstLineChars="0"/>
                    <w:jc w:val="center"/>
                    <w:rPr>
                      <w:sz w:val="21"/>
                    </w:rPr>
                  </w:pPr>
                  <w:r>
                    <w:rPr>
                      <w:sz w:val="21"/>
                    </w:rPr>
                    <w:t>化粪池</w:t>
                  </w:r>
                </w:p>
              </w:tc>
              <w:tc>
                <w:tcPr>
                  <w:tcW w:w="989" w:type="pct"/>
                  <w:tcBorders>
                    <w:tl2br w:val="nil"/>
                    <w:tr2bl w:val="nil"/>
                  </w:tcBorders>
                  <w:noWrap/>
                  <w:vAlign w:val="center"/>
                </w:tcPr>
                <w:p>
                  <w:pPr>
                    <w:spacing w:line="240" w:lineRule="auto"/>
                    <w:ind w:firstLine="0" w:firstLineChars="0"/>
                    <w:jc w:val="center"/>
                    <w:rPr>
                      <w:bCs/>
                      <w:sz w:val="21"/>
                      <w:highlight w:val="yellow"/>
                    </w:rPr>
                  </w:pPr>
                  <w:r>
                    <w:rPr>
                      <w:sz w:val="21"/>
                    </w:rPr>
                    <w:t>3m</w:t>
                  </w:r>
                  <w:r>
                    <w:rPr>
                      <w:sz w:val="21"/>
                      <w:vertAlign w:val="superscript"/>
                    </w:rPr>
                    <w:t>3</w:t>
                  </w:r>
                </w:p>
              </w:tc>
              <w:tc>
                <w:tcPr>
                  <w:tcW w:w="976" w:type="pct"/>
                  <w:tcBorders>
                    <w:tl2br w:val="nil"/>
                    <w:tr2bl w:val="nil"/>
                  </w:tcBorders>
                  <w:noWrap/>
                  <w:vAlign w:val="center"/>
                </w:tcPr>
                <w:p>
                  <w:pPr>
                    <w:spacing w:line="240" w:lineRule="auto"/>
                    <w:ind w:firstLine="0" w:firstLineChars="0"/>
                    <w:jc w:val="center"/>
                    <w:rPr>
                      <w:sz w:val="21"/>
                    </w:rPr>
                  </w:pPr>
                  <w:r>
                    <w:rPr>
                      <w:sz w:val="21"/>
                    </w:rPr>
                    <w:t>砖混</w:t>
                  </w:r>
                </w:p>
              </w:tc>
              <w:tc>
                <w:tcPr>
                  <w:tcW w:w="2069" w:type="pct"/>
                  <w:tcBorders>
                    <w:tl2br w:val="nil"/>
                    <w:tr2bl w:val="nil"/>
                  </w:tcBorders>
                  <w:noWrap/>
                  <w:vAlign w:val="center"/>
                </w:tcPr>
                <w:p>
                  <w:pPr>
                    <w:spacing w:line="240" w:lineRule="auto"/>
                    <w:ind w:firstLine="0" w:firstLineChars="0"/>
                    <w:rPr>
                      <w:sz w:val="21"/>
                    </w:rPr>
                  </w:pPr>
                  <w:r>
                    <w:rPr>
                      <w:sz w:val="21"/>
                    </w:rPr>
                    <w:t>1座，设在项目西边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13</w:t>
                  </w:r>
                </w:p>
              </w:tc>
              <w:tc>
                <w:tcPr>
                  <w:tcW w:w="680" w:type="pct"/>
                  <w:tcBorders>
                    <w:tl2br w:val="nil"/>
                    <w:tr2bl w:val="nil"/>
                  </w:tcBorders>
                  <w:noWrap/>
                  <w:vAlign w:val="center"/>
                </w:tcPr>
                <w:p>
                  <w:pPr>
                    <w:spacing w:line="240" w:lineRule="auto"/>
                    <w:ind w:firstLine="0" w:firstLineChars="0"/>
                    <w:jc w:val="center"/>
                    <w:rPr>
                      <w:sz w:val="21"/>
                    </w:rPr>
                  </w:pPr>
                  <w:r>
                    <w:rPr>
                      <w:sz w:val="21"/>
                    </w:rPr>
                    <w:t>隔油沉淀池</w:t>
                  </w:r>
                </w:p>
              </w:tc>
              <w:tc>
                <w:tcPr>
                  <w:tcW w:w="989" w:type="pct"/>
                  <w:tcBorders>
                    <w:tl2br w:val="nil"/>
                    <w:tr2bl w:val="nil"/>
                  </w:tcBorders>
                  <w:noWrap/>
                  <w:vAlign w:val="center"/>
                </w:tcPr>
                <w:p>
                  <w:pPr>
                    <w:spacing w:line="240" w:lineRule="auto"/>
                    <w:ind w:firstLine="0" w:firstLineChars="0"/>
                    <w:jc w:val="center"/>
                    <w:rPr>
                      <w:bCs/>
                      <w:sz w:val="21"/>
                      <w:highlight w:val="yellow"/>
                    </w:rPr>
                  </w:pPr>
                  <w:r>
                    <w:rPr>
                      <w:sz w:val="21"/>
                    </w:rPr>
                    <w:t>—</w:t>
                  </w:r>
                </w:p>
              </w:tc>
              <w:tc>
                <w:tcPr>
                  <w:tcW w:w="976" w:type="pct"/>
                  <w:tcBorders>
                    <w:tl2br w:val="nil"/>
                    <w:tr2bl w:val="nil"/>
                  </w:tcBorders>
                  <w:noWrap/>
                  <w:vAlign w:val="center"/>
                </w:tcPr>
                <w:p>
                  <w:pPr>
                    <w:spacing w:line="240" w:lineRule="auto"/>
                    <w:ind w:firstLine="0" w:firstLineChars="0"/>
                    <w:jc w:val="center"/>
                    <w:rPr>
                      <w:sz w:val="21"/>
                    </w:rPr>
                  </w:pPr>
                  <w:r>
                    <w:rPr>
                      <w:sz w:val="21"/>
                    </w:rPr>
                    <w:t>砖混</w:t>
                  </w:r>
                </w:p>
              </w:tc>
              <w:tc>
                <w:tcPr>
                  <w:tcW w:w="2069" w:type="pct"/>
                  <w:tcBorders>
                    <w:tl2br w:val="nil"/>
                    <w:tr2bl w:val="nil"/>
                  </w:tcBorders>
                  <w:noWrap/>
                  <w:vAlign w:val="center"/>
                </w:tcPr>
                <w:p>
                  <w:pPr>
                    <w:spacing w:line="240" w:lineRule="auto"/>
                    <w:ind w:firstLine="0" w:firstLineChars="0"/>
                    <w:rPr>
                      <w:sz w:val="21"/>
                    </w:rPr>
                  </w:pPr>
                  <w:r>
                    <w:rPr>
                      <w:sz w:val="21"/>
                    </w:rPr>
                    <w:t>1座，设在项目东边。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14</w:t>
                  </w:r>
                </w:p>
              </w:tc>
              <w:tc>
                <w:tcPr>
                  <w:tcW w:w="680" w:type="pct"/>
                  <w:tcBorders>
                    <w:tl2br w:val="nil"/>
                    <w:tr2bl w:val="nil"/>
                  </w:tcBorders>
                  <w:noWrap/>
                  <w:vAlign w:val="center"/>
                </w:tcPr>
                <w:p>
                  <w:pPr>
                    <w:spacing w:line="240" w:lineRule="auto"/>
                    <w:ind w:firstLine="0" w:firstLineChars="0"/>
                    <w:jc w:val="center"/>
                    <w:rPr>
                      <w:spacing w:val="4"/>
                      <w:sz w:val="21"/>
                    </w:rPr>
                  </w:pPr>
                  <w:r>
                    <w:rPr>
                      <w:spacing w:val="4"/>
                      <w:sz w:val="21"/>
                    </w:rPr>
                    <w:t>硬化地面</w:t>
                  </w:r>
                </w:p>
              </w:tc>
              <w:tc>
                <w:tcPr>
                  <w:tcW w:w="989" w:type="pct"/>
                  <w:tcBorders>
                    <w:tl2br w:val="nil"/>
                    <w:tr2bl w:val="nil"/>
                  </w:tcBorders>
                  <w:noWrap/>
                  <w:vAlign w:val="center"/>
                </w:tcPr>
                <w:p>
                  <w:pPr>
                    <w:spacing w:line="240" w:lineRule="auto"/>
                    <w:ind w:firstLine="0" w:firstLineChars="0"/>
                    <w:jc w:val="center"/>
                    <w:rPr>
                      <w:sz w:val="21"/>
                    </w:rPr>
                  </w:pPr>
                  <w:r>
                    <w:rPr>
                      <w:sz w:val="21"/>
                    </w:rPr>
                    <w:t>—</w:t>
                  </w:r>
                </w:p>
              </w:tc>
              <w:tc>
                <w:tcPr>
                  <w:tcW w:w="976" w:type="pct"/>
                  <w:tcBorders>
                    <w:tl2br w:val="nil"/>
                    <w:tr2bl w:val="nil"/>
                  </w:tcBorders>
                  <w:noWrap/>
                  <w:vAlign w:val="center"/>
                </w:tcPr>
                <w:p>
                  <w:pPr>
                    <w:spacing w:line="240" w:lineRule="auto"/>
                    <w:ind w:firstLine="0" w:firstLineChars="0"/>
                    <w:jc w:val="center"/>
                    <w:rPr>
                      <w:sz w:val="21"/>
                    </w:rPr>
                  </w:pPr>
                  <w:r>
                    <w:rPr>
                      <w:sz w:val="21"/>
                    </w:rPr>
                    <w:t>—</w:t>
                  </w:r>
                </w:p>
              </w:tc>
              <w:tc>
                <w:tcPr>
                  <w:tcW w:w="2069" w:type="pct"/>
                  <w:tcBorders>
                    <w:tl2br w:val="nil"/>
                    <w:tr2bl w:val="nil"/>
                  </w:tcBorders>
                  <w:noWrap/>
                  <w:vAlign w:val="center"/>
                </w:tcPr>
                <w:p>
                  <w:pPr>
                    <w:spacing w:line="240" w:lineRule="auto"/>
                    <w:ind w:firstLine="0" w:firstLineChars="0"/>
                    <w:rPr>
                      <w:sz w:val="21"/>
                    </w:rPr>
                  </w:pPr>
                  <w:r>
                    <w:rPr>
                      <w:sz w:val="21"/>
                    </w:rPr>
                    <w:t>水泥混凝土，包含进出口</w:t>
                  </w:r>
                  <w:r>
                    <w:rPr>
                      <w:spacing w:val="4"/>
                      <w:sz w:val="21"/>
                    </w:rPr>
                    <w:t>硬化地面、罩棚四周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15</w:t>
                  </w:r>
                </w:p>
              </w:tc>
              <w:tc>
                <w:tcPr>
                  <w:tcW w:w="680" w:type="pct"/>
                  <w:tcBorders>
                    <w:tl2br w:val="nil"/>
                    <w:tr2bl w:val="nil"/>
                  </w:tcBorders>
                  <w:noWrap/>
                  <w:vAlign w:val="center"/>
                </w:tcPr>
                <w:p>
                  <w:pPr>
                    <w:spacing w:line="240" w:lineRule="auto"/>
                    <w:ind w:firstLine="0" w:firstLineChars="0"/>
                    <w:jc w:val="center"/>
                    <w:rPr>
                      <w:sz w:val="21"/>
                    </w:rPr>
                  </w:pPr>
                  <w:r>
                    <w:rPr>
                      <w:sz w:val="21"/>
                    </w:rPr>
                    <w:t>发电机房</w:t>
                  </w:r>
                </w:p>
              </w:tc>
              <w:tc>
                <w:tcPr>
                  <w:tcW w:w="989" w:type="pct"/>
                  <w:tcBorders>
                    <w:tl2br w:val="nil"/>
                    <w:tr2bl w:val="nil"/>
                  </w:tcBorders>
                  <w:noWrap/>
                  <w:vAlign w:val="center"/>
                </w:tcPr>
                <w:p>
                  <w:pPr>
                    <w:spacing w:line="240" w:lineRule="auto"/>
                    <w:ind w:firstLine="0" w:firstLineChars="0"/>
                    <w:jc w:val="center"/>
                    <w:rPr>
                      <w:sz w:val="21"/>
                    </w:rPr>
                  </w:pPr>
                  <w:r>
                    <w:rPr>
                      <w:sz w:val="21"/>
                    </w:rPr>
                    <w:t>1间</w:t>
                  </w:r>
                </w:p>
              </w:tc>
              <w:tc>
                <w:tcPr>
                  <w:tcW w:w="976" w:type="pct"/>
                  <w:tcBorders>
                    <w:tl2br w:val="nil"/>
                    <w:tr2bl w:val="nil"/>
                  </w:tcBorders>
                  <w:noWrap/>
                  <w:vAlign w:val="center"/>
                </w:tcPr>
                <w:p>
                  <w:pPr>
                    <w:spacing w:line="240" w:lineRule="auto"/>
                    <w:ind w:firstLine="0" w:firstLineChars="0"/>
                    <w:jc w:val="center"/>
                    <w:rPr>
                      <w:sz w:val="21"/>
                    </w:rPr>
                  </w:pPr>
                  <w:r>
                    <w:rPr>
                      <w:sz w:val="21"/>
                    </w:rPr>
                    <w:t>砖混</w:t>
                  </w:r>
                </w:p>
              </w:tc>
              <w:tc>
                <w:tcPr>
                  <w:tcW w:w="2069" w:type="pct"/>
                  <w:tcBorders>
                    <w:tl2br w:val="nil"/>
                    <w:tr2bl w:val="nil"/>
                  </w:tcBorders>
                  <w:noWrap/>
                  <w:vAlign w:val="center"/>
                </w:tcPr>
                <w:p>
                  <w:pPr>
                    <w:spacing w:line="240" w:lineRule="auto"/>
                    <w:ind w:firstLine="0" w:firstLineChars="0"/>
                    <w:rPr>
                      <w:sz w:val="21"/>
                    </w:rPr>
                  </w:pPr>
                  <w:r>
                    <w:rPr>
                      <w:sz w:val="21"/>
                    </w:rPr>
                    <w:t>设一备用柴油发电机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4" w:type="pct"/>
                  <w:tcBorders>
                    <w:tl2br w:val="nil"/>
                    <w:tr2bl w:val="nil"/>
                  </w:tcBorders>
                  <w:noWrap/>
                  <w:vAlign w:val="center"/>
                </w:tcPr>
                <w:p>
                  <w:pPr>
                    <w:spacing w:line="240" w:lineRule="auto"/>
                    <w:ind w:firstLine="0" w:firstLineChars="0"/>
                    <w:jc w:val="center"/>
                    <w:rPr>
                      <w:b/>
                      <w:bCs/>
                      <w:sz w:val="21"/>
                    </w:rPr>
                  </w:pPr>
                  <w:r>
                    <w:rPr>
                      <w:b/>
                      <w:bCs/>
                      <w:sz w:val="21"/>
                    </w:rPr>
                    <w:t>16</w:t>
                  </w:r>
                </w:p>
              </w:tc>
              <w:tc>
                <w:tcPr>
                  <w:tcW w:w="680" w:type="pct"/>
                  <w:tcBorders>
                    <w:tl2br w:val="nil"/>
                    <w:tr2bl w:val="nil"/>
                  </w:tcBorders>
                  <w:noWrap/>
                </w:tcPr>
                <w:p>
                  <w:pPr>
                    <w:pStyle w:val="24"/>
                    <w:widowControl w:val="0"/>
                    <w:adjustRightInd/>
                    <w:spacing w:line="240" w:lineRule="auto"/>
                    <w:ind w:firstLine="0" w:firstLineChars="0"/>
                    <w:jc w:val="center"/>
                    <w:rPr>
                      <w:kern w:val="2"/>
                      <w:sz w:val="21"/>
                    </w:rPr>
                  </w:pPr>
                  <w:r>
                    <w:rPr>
                      <w:kern w:val="2"/>
                      <w:sz w:val="21"/>
                    </w:rPr>
                    <w:t>消防砂池</w:t>
                  </w:r>
                </w:p>
              </w:tc>
              <w:tc>
                <w:tcPr>
                  <w:tcW w:w="989" w:type="pct"/>
                  <w:tcBorders>
                    <w:tl2br w:val="nil"/>
                    <w:tr2bl w:val="nil"/>
                  </w:tcBorders>
                  <w:noWrap/>
                  <w:vAlign w:val="center"/>
                </w:tcPr>
                <w:p>
                  <w:pPr>
                    <w:spacing w:line="240" w:lineRule="auto"/>
                    <w:ind w:firstLine="0" w:firstLineChars="0"/>
                    <w:jc w:val="center"/>
                    <w:rPr>
                      <w:sz w:val="21"/>
                    </w:rPr>
                  </w:pPr>
                  <w:r>
                    <w:rPr>
                      <w:sz w:val="21"/>
                    </w:rPr>
                    <w:t>2m</w:t>
                  </w:r>
                  <w:r>
                    <w:rPr>
                      <w:sz w:val="21"/>
                      <w:vertAlign w:val="superscript"/>
                    </w:rPr>
                    <w:t>3</w:t>
                  </w:r>
                </w:p>
              </w:tc>
              <w:tc>
                <w:tcPr>
                  <w:tcW w:w="976" w:type="pct"/>
                  <w:tcBorders>
                    <w:tl2br w:val="nil"/>
                    <w:tr2bl w:val="nil"/>
                  </w:tcBorders>
                  <w:noWrap/>
                  <w:vAlign w:val="center"/>
                </w:tcPr>
                <w:p>
                  <w:pPr>
                    <w:spacing w:line="240" w:lineRule="auto"/>
                    <w:ind w:firstLine="0" w:firstLineChars="0"/>
                    <w:jc w:val="center"/>
                    <w:rPr>
                      <w:sz w:val="21"/>
                    </w:rPr>
                  </w:pPr>
                  <w:r>
                    <w:rPr>
                      <w:sz w:val="21"/>
                    </w:rPr>
                    <w:t>—</w:t>
                  </w:r>
                </w:p>
              </w:tc>
              <w:tc>
                <w:tcPr>
                  <w:tcW w:w="2069" w:type="pct"/>
                  <w:tcBorders>
                    <w:tl2br w:val="nil"/>
                    <w:tr2bl w:val="nil"/>
                  </w:tcBorders>
                  <w:noWrap/>
                  <w:vAlign w:val="center"/>
                </w:tcPr>
                <w:p>
                  <w:pPr>
                    <w:spacing w:line="240" w:lineRule="auto"/>
                    <w:ind w:firstLine="0" w:firstLineChars="0"/>
                    <w:rPr>
                      <w:sz w:val="21"/>
                    </w:rPr>
                  </w:pPr>
                  <w:r>
                    <w:rPr>
                      <w:sz w:val="21"/>
                    </w:rPr>
                    <w:t>设在东边油罐区的西侧</w:t>
                  </w:r>
                </w:p>
              </w:tc>
            </w:tr>
          </w:tbl>
          <w:p>
            <w:pPr>
              <w:numPr>
                <w:ilvl w:val="0"/>
                <w:numId w:val="3"/>
              </w:numPr>
              <w:ind w:firstLine="0" w:firstLineChars="0"/>
              <w:rPr>
                <w:b/>
                <w:bCs/>
                <w:color w:val="000000"/>
                <w:szCs w:val="28"/>
              </w:rPr>
            </w:pPr>
            <w:r>
              <w:rPr>
                <w:b/>
                <w:bCs/>
                <w:color w:val="000000"/>
                <w:szCs w:val="28"/>
              </w:rPr>
              <w:t>主要设备</w:t>
            </w:r>
          </w:p>
          <w:p>
            <w:pPr>
              <w:spacing w:line="240" w:lineRule="auto"/>
              <w:ind w:firstLine="422"/>
              <w:jc w:val="center"/>
              <w:rPr>
                <w:rFonts w:eastAsiaTheme="minorEastAsia"/>
                <w:b/>
                <w:color w:val="000000"/>
                <w:sz w:val="21"/>
                <w:shd w:val="clear" w:color="auto" w:fill="FFFFFF"/>
              </w:rPr>
            </w:pPr>
            <w:r>
              <w:rPr>
                <w:b/>
                <w:color w:val="000000"/>
                <w:sz w:val="21"/>
                <w:shd w:val="clear" w:color="auto" w:fill="FFFFFF"/>
              </w:rPr>
              <w:t>表1-</w:t>
            </w:r>
            <w:r>
              <w:rPr>
                <w:rFonts w:hint="eastAsia"/>
                <w:b/>
                <w:color w:val="000000"/>
                <w:sz w:val="21"/>
                <w:shd w:val="clear" w:color="auto" w:fill="FFFFFF"/>
              </w:rPr>
              <w:t>3</w:t>
            </w:r>
            <w:r>
              <w:rPr>
                <w:b/>
                <w:color w:val="000000"/>
                <w:sz w:val="21"/>
                <w:shd w:val="clear" w:color="auto" w:fill="FFFFFF"/>
              </w:rPr>
              <w:t xml:space="preserve"> 主要设备清单</w:t>
            </w:r>
          </w:p>
          <w:tbl>
            <w:tblPr>
              <w:tblStyle w:val="27"/>
              <w:tblW w:w="4998"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941"/>
              <w:gridCol w:w="1378"/>
              <w:gridCol w:w="1871"/>
              <w:gridCol w:w="18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序号</w:t>
                  </w:r>
                </w:p>
              </w:tc>
              <w:tc>
                <w:tcPr>
                  <w:tcW w:w="1571"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名称</w:t>
                  </w:r>
                </w:p>
              </w:tc>
              <w:tc>
                <w:tcPr>
                  <w:tcW w:w="736"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数量</w:t>
                  </w:r>
                </w:p>
              </w:tc>
              <w:tc>
                <w:tcPr>
                  <w:tcW w:w="1000"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规模型号</w:t>
                  </w:r>
                </w:p>
              </w:tc>
              <w:tc>
                <w:tcPr>
                  <w:tcW w:w="1000"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1</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themeColor="text1"/>
                      <w:sz w:val="21"/>
                      <w:shd w:val="clear" w:color="auto" w:fill="FFFFFF"/>
                      <w14:textFill>
                        <w14:solidFill>
                          <w14:schemeClr w14:val="tx1"/>
                        </w14:solidFill>
                      </w14:textFill>
                    </w:rPr>
                    <w:t>双层罐S/F</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2具</w:t>
                  </w: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SF，30m</w:t>
                  </w:r>
                  <w:r>
                    <w:rPr>
                      <w:bCs/>
                      <w:sz w:val="21"/>
                      <w:vertAlign w:val="superscript"/>
                    </w:rPr>
                    <w:t>3</w:t>
                  </w: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埋地，</w:t>
                  </w:r>
                  <w:r>
                    <w:rPr>
                      <w:bCs/>
                      <w:color w:val="000000" w:themeColor="text1"/>
                      <w:sz w:val="21"/>
                      <w:shd w:val="clear" w:color="auto" w:fill="FFFFFF"/>
                      <w14:textFill>
                        <w14:solidFill>
                          <w14:schemeClr w14:val="tx1"/>
                        </w14:solidFill>
                      </w14:textFill>
                    </w:rPr>
                    <w:t>闲置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2</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0#柴油</w:t>
                  </w:r>
                  <w:r>
                    <w:rPr>
                      <w:bCs/>
                      <w:color w:val="000000" w:themeColor="text1"/>
                      <w:sz w:val="21"/>
                      <w:shd w:val="clear" w:color="auto" w:fill="FFFFFF"/>
                      <w14:textFill>
                        <w14:solidFill>
                          <w14:schemeClr w14:val="tx1"/>
                        </w14:solidFill>
                      </w14:textFill>
                    </w:rPr>
                    <w:t>双层罐S/F</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2具</w:t>
                  </w: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SF，30m</w:t>
                  </w:r>
                  <w:r>
                    <w:rPr>
                      <w:bCs/>
                      <w:sz w:val="21"/>
                      <w:vertAlign w:val="superscript"/>
                    </w:rPr>
                    <w:t>3</w:t>
                  </w: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埋地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3</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油枪加油机</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4台</w:t>
                  </w: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themeColor="text1"/>
                      <w:sz w:val="21"/>
                      <w:shd w:val="clear" w:color="auto" w:fill="FFFFFF"/>
                      <w14:textFill>
                        <w14:solidFill>
                          <w14:schemeClr w14:val="tx1"/>
                        </w14:solidFill>
                      </w14:textFill>
                    </w:rPr>
                    <w:t>2个已封机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4</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液位仪</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4台</w:t>
                  </w: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与油罐配套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5</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手提式干粉灭火器</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16罐</w:t>
                  </w:r>
                </w:p>
              </w:tc>
              <w:tc>
                <w:tcPr>
                  <w:tcW w:w="1000"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zCs w:val="20"/>
                    </w:rPr>
                    <w:t>MFZ/ADV8</w:t>
                  </w: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6</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推车式干粉灭火器</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3罐</w:t>
                  </w:r>
                </w:p>
              </w:tc>
              <w:tc>
                <w:tcPr>
                  <w:tcW w:w="1000" w:type="pct"/>
                  <w:tcBorders>
                    <w:tl2br w:val="nil"/>
                    <w:tr2bl w:val="nil"/>
                  </w:tcBorders>
                </w:tcPr>
                <w:p>
                  <w:pPr>
                    <w:spacing w:line="240" w:lineRule="auto"/>
                    <w:ind w:firstLine="0" w:firstLineChars="0"/>
                    <w:jc w:val="center"/>
                    <w:rPr>
                      <w:bCs/>
                      <w:color w:val="000000"/>
                      <w:sz w:val="21"/>
                      <w:szCs w:val="20"/>
                    </w:rPr>
                  </w:pPr>
                  <w:r>
                    <w:rPr>
                      <w:bCs/>
                      <w:color w:val="000000"/>
                      <w:sz w:val="21"/>
                      <w:szCs w:val="20"/>
                    </w:rPr>
                    <w:t>MFTZ/ABC35</w:t>
                  </w: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7</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消防沙</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2m</w:t>
                  </w:r>
                  <w:r>
                    <w:rPr>
                      <w:bCs/>
                      <w:sz w:val="21"/>
                      <w:vertAlign w:val="superscript"/>
                    </w:rPr>
                    <w:t>3</w:t>
                  </w:r>
                </w:p>
              </w:tc>
              <w:tc>
                <w:tcPr>
                  <w:tcW w:w="1000" w:type="pct"/>
                  <w:tcBorders>
                    <w:tl2br w:val="nil"/>
                    <w:tr2bl w:val="nil"/>
                  </w:tcBorders>
                </w:tcPr>
                <w:p>
                  <w:pPr>
                    <w:spacing w:line="240" w:lineRule="auto"/>
                    <w:ind w:firstLine="0" w:firstLineChars="0"/>
                    <w:jc w:val="center"/>
                    <w:rPr>
                      <w:bCs/>
                      <w:color w:val="000000"/>
                      <w:sz w:val="21"/>
                      <w:szCs w:val="20"/>
                    </w:rPr>
                  </w:pP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shd w:val="clear" w:color="auto" w:fill="FFFFFF"/>
                    </w:rPr>
                  </w:pPr>
                  <w:r>
                    <w:rPr>
                      <w:b/>
                      <w:color w:val="000000"/>
                      <w:sz w:val="21"/>
                      <w:shd w:val="clear" w:color="auto" w:fill="FFFFFF"/>
                    </w:rPr>
                    <w:t>8</w:t>
                  </w:r>
                </w:p>
              </w:tc>
              <w:tc>
                <w:tcPr>
                  <w:tcW w:w="1571"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灭火毯</w:t>
                  </w:r>
                </w:p>
              </w:tc>
              <w:tc>
                <w:tcPr>
                  <w:tcW w:w="736" w:type="pct"/>
                  <w:tcBorders>
                    <w:tl2br w:val="nil"/>
                    <w:tr2bl w:val="nil"/>
                  </w:tcBorders>
                </w:tcPr>
                <w:p>
                  <w:pPr>
                    <w:spacing w:line="240" w:lineRule="auto"/>
                    <w:ind w:firstLine="0" w:firstLineChars="0"/>
                    <w:jc w:val="center"/>
                    <w:rPr>
                      <w:bCs/>
                      <w:color w:val="000000"/>
                      <w:sz w:val="21"/>
                      <w:shd w:val="clear" w:color="auto" w:fill="FFFFFF"/>
                    </w:rPr>
                  </w:pPr>
                  <w:r>
                    <w:rPr>
                      <w:bCs/>
                      <w:color w:val="000000"/>
                      <w:sz w:val="21"/>
                      <w:shd w:val="clear" w:color="auto" w:fill="FFFFFF"/>
                    </w:rPr>
                    <w:t>2套</w:t>
                  </w:r>
                </w:p>
              </w:tc>
              <w:tc>
                <w:tcPr>
                  <w:tcW w:w="1000" w:type="pct"/>
                  <w:tcBorders>
                    <w:tl2br w:val="nil"/>
                    <w:tr2bl w:val="nil"/>
                  </w:tcBorders>
                </w:tcPr>
                <w:p>
                  <w:pPr>
                    <w:spacing w:line="240" w:lineRule="auto"/>
                    <w:ind w:firstLine="0" w:firstLineChars="0"/>
                    <w:jc w:val="center"/>
                    <w:rPr>
                      <w:bCs/>
                      <w:color w:val="000000"/>
                      <w:sz w:val="21"/>
                      <w:szCs w:val="20"/>
                    </w:rPr>
                  </w:pPr>
                </w:p>
              </w:tc>
              <w:tc>
                <w:tcPr>
                  <w:tcW w:w="1000" w:type="pct"/>
                  <w:tcBorders>
                    <w:tl2br w:val="nil"/>
                    <w:tr2bl w:val="nil"/>
                  </w:tcBorders>
                </w:tcPr>
                <w:p>
                  <w:pPr>
                    <w:spacing w:line="240" w:lineRule="auto"/>
                    <w:ind w:firstLine="0" w:firstLineChars="0"/>
                    <w:jc w:val="center"/>
                    <w:rPr>
                      <w:bCs/>
                      <w:color w:val="000000"/>
                      <w:sz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u w:val="single"/>
                      <w:shd w:val="clear" w:color="auto" w:fill="FFFFFF"/>
                    </w:rPr>
                  </w:pPr>
                  <w:r>
                    <w:rPr>
                      <w:rFonts w:hint="eastAsia"/>
                      <w:b/>
                      <w:color w:val="000000"/>
                      <w:sz w:val="21"/>
                      <w:u w:val="single"/>
                      <w:shd w:val="clear" w:color="auto" w:fill="FFFFFF"/>
                    </w:rPr>
                    <w:t>9</w:t>
                  </w:r>
                </w:p>
              </w:tc>
              <w:tc>
                <w:tcPr>
                  <w:tcW w:w="1571" w:type="pct"/>
                  <w:tcBorders>
                    <w:tl2br w:val="nil"/>
                    <w:tr2bl w:val="nil"/>
                  </w:tcBorders>
                </w:tcPr>
                <w:p>
                  <w:pPr>
                    <w:spacing w:line="240" w:lineRule="auto"/>
                    <w:ind w:firstLine="0" w:firstLineChars="0"/>
                    <w:jc w:val="center"/>
                    <w:rPr>
                      <w:bCs/>
                      <w:color w:val="000000"/>
                      <w:sz w:val="21"/>
                      <w:u w:val="single"/>
                      <w:shd w:val="clear" w:color="auto" w:fill="FFFFFF"/>
                    </w:rPr>
                  </w:pPr>
                  <w:r>
                    <w:rPr>
                      <w:rFonts w:hint="eastAsia"/>
                      <w:bCs/>
                      <w:color w:val="000000"/>
                      <w:sz w:val="21"/>
                      <w:u w:val="single"/>
                      <w:shd w:val="clear" w:color="auto" w:fill="FFFFFF"/>
                    </w:rPr>
                    <w:t>油气回收系统</w:t>
                  </w:r>
                </w:p>
              </w:tc>
              <w:tc>
                <w:tcPr>
                  <w:tcW w:w="736" w:type="pct"/>
                  <w:tcBorders>
                    <w:tl2br w:val="nil"/>
                    <w:tr2bl w:val="nil"/>
                  </w:tcBorders>
                </w:tcPr>
                <w:p>
                  <w:pPr>
                    <w:spacing w:line="240" w:lineRule="auto"/>
                    <w:ind w:firstLine="0" w:firstLineChars="0"/>
                    <w:jc w:val="center"/>
                    <w:rPr>
                      <w:bCs/>
                      <w:color w:val="000000"/>
                      <w:sz w:val="21"/>
                      <w:u w:val="single"/>
                      <w:shd w:val="clear" w:color="auto" w:fill="FFFFFF"/>
                    </w:rPr>
                  </w:pPr>
                  <w:r>
                    <w:rPr>
                      <w:rFonts w:hint="eastAsia"/>
                      <w:bCs/>
                      <w:color w:val="000000"/>
                      <w:sz w:val="21"/>
                      <w:u w:val="single"/>
                      <w:shd w:val="clear" w:color="auto" w:fill="FFFFFF"/>
                    </w:rPr>
                    <w:t>4套</w:t>
                  </w:r>
                </w:p>
              </w:tc>
              <w:tc>
                <w:tcPr>
                  <w:tcW w:w="1000" w:type="pct"/>
                  <w:tcBorders>
                    <w:tl2br w:val="nil"/>
                    <w:tr2bl w:val="nil"/>
                  </w:tcBorders>
                </w:tcPr>
                <w:p>
                  <w:pPr>
                    <w:spacing w:line="240" w:lineRule="auto"/>
                    <w:ind w:firstLine="0" w:firstLineChars="0"/>
                    <w:jc w:val="center"/>
                    <w:rPr>
                      <w:bCs/>
                      <w:color w:val="000000"/>
                      <w:sz w:val="21"/>
                      <w:szCs w:val="20"/>
                      <w:u w:val="single"/>
                    </w:rPr>
                  </w:pPr>
                </w:p>
              </w:tc>
              <w:tc>
                <w:tcPr>
                  <w:tcW w:w="1000" w:type="pct"/>
                  <w:tcBorders>
                    <w:tl2br w:val="nil"/>
                    <w:tr2bl w:val="nil"/>
                  </w:tcBorders>
                </w:tcPr>
                <w:p>
                  <w:pPr>
                    <w:spacing w:line="240" w:lineRule="auto"/>
                    <w:ind w:firstLine="0" w:firstLineChars="0"/>
                    <w:jc w:val="center"/>
                    <w:rPr>
                      <w:bCs/>
                      <w:color w:val="000000"/>
                      <w:sz w:val="21"/>
                      <w:u w:val="single"/>
                      <w:shd w:val="clear" w:color="auto" w:fill="FFFFFF"/>
                    </w:rPr>
                  </w:pPr>
                  <w:r>
                    <w:rPr>
                      <w:bCs/>
                      <w:color w:val="000000" w:themeColor="text1"/>
                      <w:sz w:val="21"/>
                      <w:u w:val="single"/>
                      <w:shd w:val="clear" w:color="auto" w:fill="FFFFFF"/>
                      <w14:textFill>
                        <w14:solidFill>
                          <w14:schemeClr w14:val="tx1"/>
                        </w14:solidFill>
                      </w14:textFill>
                    </w:rPr>
                    <w:t>2个已封机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2" w:type="pct"/>
                  <w:tcBorders>
                    <w:tl2br w:val="nil"/>
                    <w:tr2bl w:val="nil"/>
                  </w:tcBorders>
                </w:tcPr>
                <w:p>
                  <w:pPr>
                    <w:spacing w:line="240" w:lineRule="auto"/>
                    <w:ind w:firstLine="0" w:firstLineChars="0"/>
                    <w:jc w:val="center"/>
                    <w:rPr>
                      <w:b/>
                      <w:color w:val="000000"/>
                      <w:sz w:val="21"/>
                      <w:u w:val="single"/>
                      <w:shd w:val="clear" w:color="auto" w:fill="FFFFFF"/>
                    </w:rPr>
                  </w:pPr>
                  <w:r>
                    <w:rPr>
                      <w:rFonts w:hint="eastAsia"/>
                      <w:b/>
                      <w:color w:val="000000"/>
                      <w:sz w:val="21"/>
                      <w:u w:val="single"/>
                      <w:shd w:val="clear" w:color="auto" w:fill="FFFFFF"/>
                    </w:rPr>
                    <w:t>10</w:t>
                  </w:r>
                </w:p>
              </w:tc>
              <w:tc>
                <w:tcPr>
                  <w:tcW w:w="1571" w:type="pct"/>
                  <w:tcBorders>
                    <w:tl2br w:val="nil"/>
                    <w:tr2bl w:val="nil"/>
                  </w:tcBorders>
                </w:tcPr>
                <w:p>
                  <w:pPr>
                    <w:spacing w:line="240" w:lineRule="auto"/>
                    <w:ind w:firstLine="0" w:firstLineChars="0"/>
                    <w:jc w:val="center"/>
                    <w:rPr>
                      <w:bCs/>
                      <w:color w:val="000000"/>
                      <w:sz w:val="21"/>
                      <w:u w:val="single"/>
                      <w:shd w:val="clear" w:color="auto" w:fill="FFFFFF"/>
                    </w:rPr>
                  </w:pPr>
                  <w:r>
                    <w:rPr>
                      <w:rFonts w:hint="eastAsia"/>
                      <w:bCs/>
                      <w:color w:val="000000"/>
                      <w:sz w:val="21"/>
                      <w:u w:val="single"/>
                      <w:shd w:val="clear" w:color="auto" w:fill="FFFFFF"/>
                    </w:rPr>
                    <w:t>柴油发动机</w:t>
                  </w:r>
                </w:p>
              </w:tc>
              <w:tc>
                <w:tcPr>
                  <w:tcW w:w="736" w:type="pct"/>
                  <w:tcBorders>
                    <w:tl2br w:val="nil"/>
                    <w:tr2bl w:val="nil"/>
                  </w:tcBorders>
                </w:tcPr>
                <w:p>
                  <w:pPr>
                    <w:spacing w:line="240" w:lineRule="auto"/>
                    <w:ind w:firstLine="0" w:firstLineChars="0"/>
                    <w:jc w:val="center"/>
                    <w:rPr>
                      <w:bCs/>
                      <w:color w:val="000000"/>
                      <w:sz w:val="21"/>
                      <w:u w:val="single"/>
                      <w:shd w:val="clear" w:color="auto" w:fill="FFFFFF"/>
                    </w:rPr>
                  </w:pPr>
                  <w:r>
                    <w:rPr>
                      <w:rFonts w:hint="eastAsia"/>
                      <w:bCs/>
                      <w:color w:val="000000"/>
                      <w:sz w:val="21"/>
                      <w:u w:val="single"/>
                      <w:shd w:val="clear" w:color="auto" w:fill="FFFFFF"/>
                    </w:rPr>
                    <w:t>1台</w:t>
                  </w:r>
                </w:p>
              </w:tc>
              <w:tc>
                <w:tcPr>
                  <w:tcW w:w="1000" w:type="pct"/>
                  <w:tcBorders>
                    <w:tl2br w:val="nil"/>
                    <w:tr2bl w:val="nil"/>
                  </w:tcBorders>
                </w:tcPr>
                <w:p>
                  <w:pPr>
                    <w:spacing w:line="240" w:lineRule="auto"/>
                    <w:ind w:firstLine="0" w:firstLineChars="0"/>
                    <w:jc w:val="center"/>
                    <w:rPr>
                      <w:bCs/>
                      <w:color w:val="000000"/>
                      <w:sz w:val="21"/>
                      <w:szCs w:val="20"/>
                      <w:u w:val="single"/>
                    </w:rPr>
                  </w:pPr>
                </w:p>
              </w:tc>
              <w:tc>
                <w:tcPr>
                  <w:tcW w:w="1000" w:type="pct"/>
                  <w:tcBorders>
                    <w:tl2br w:val="nil"/>
                    <w:tr2bl w:val="nil"/>
                  </w:tcBorders>
                </w:tcPr>
                <w:p>
                  <w:pPr>
                    <w:spacing w:line="240" w:lineRule="auto"/>
                    <w:ind w:firstLine="0" w:firstLineChars="0"/>
                    <w:jc w:val="center"/>
                    <w:rPr>
                      <w:bCs/>
                      <w:color w:val="000000" w:themeColor="text1"/>
                      <w:sz w:val="21"/>
                      <w:u w:val="single"/>
                      <w:shd w:val="clear" w:color="auto" w:fill="FFFFFF"/>
                      <w14:textFill>
                        <w14:solidFill>
                          <w14:schemeClr w14:val="tx1"/>
                        </w14:solidFill>
                      </w14:textFill>
                    </w:rPr>
                  </w:pPr>
                </w:p>
              </w:tc>
            </w:tr>
          </w:tbl>
          <w:p>
            <w:pPr>
              <w:numPr>
                <w:ilvl w:val="0"/>
                <w:numId w:val="3"/>
              </w:numPr>
              <w:ind w:firstLine="0" w:firstLineChars="0"/>
              <w:rPr>
                <w:b/>
                <w:bCs/>
              </w:rPr>
            </w:pPr>
            <w:r>
              <w:rPr>
                <w:b/>
                <w:bCs/>
              </w:rPr>
              <w:t>油品周转量及能源消耗</w:t>
            </w:r>
          </w:p>
          <w:p>
            <w:pPr>
              <w:spacing w:line="240" w:lineRule="auto"/>
              <w:ind w:firstLine="0" w:firstLineChars="0"/>
              <w:jc w:val="center"/>
              <w:rPr>
                <w:b/>
                <w:color w:val="000000"/>
                <w:sz w:val="21"/>
                <w:shd w:val="clear" w:color="auto" w:fill="FFFFFF"/>
              </w:rPr>
            </w:pPr>
          </w:p>
          <w:p>
            <w:pPr>
              <w:spacing w:line="240" w:lineRule="auto"/>
              <w:ind w:firstLine="0" w:firstLineChars="0"/>
              <w:jc w:val="center"/>
              <w:rPr>
                <w:b/>
                <w:color w:val="000000"/>
                <w:sz w:val="21"/>
                <w:shd w:val="clear" w:color="auto" w:fill="FFFFFF"/>
              </w:rPr>
            </w:pPr>
            <w:r>
              <w:rPr>
                <w:b/>
                <w:color w:val="000000"/>
                <w:sz w:val="21"/>
                <w:shd w:val="clear" w:color="auto" w:fill="FFFFFF"/>
              </w:rPr>
              <w:t>表1-</w:t>
            </w:r>
            <w:r>
              <w:rPr>
                <w:rFonts w:hint="eastAsia"/>
                <w:b/>
                <w:color w:val="000000"/>
                <w:sz w:val="21"/>
                <w:shd w:val="clear" w:color="auto" w:fill="FFFFFF"/>
              </w:rPr>
              <w:t xml:space="preserve">4 </w:t>
            </w:r>
            <w:r>
              <w:rPr>
                <w:b/>
                <w:color w:val="000000"/>
                <w:sz w:val="21"/>
                <w:shd w:val="clear" w:color="auto" w:fill="FFFFFF"/>
              </w:rPr>
              <w:t>油品周转量及能源消耗</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978"/>
              <w:gridCol w:w="967"/>
              <w:gridCol w:w="1236"/>
              <w:gridCol w:w="1426"/>
              <w:gridCol w:w="2010"/>
              <w:gridCol w:w="1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06"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序号</w:t>
                  </w:r>
                </w:p>
              </w:tc>
              <w:tc>
                <w:tcPr>
                  <w:tcW w:w="522"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名称</w:t>
                  </w:r>
                </w:p>
              </w:tc>
              <w:tc>
                <w:tcPr>
                  <w:tcW w:w="516"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数量</w:t>
                  </w:r>
                </w:p>
              </w:tc>
              <w:tc>
                <w:tcPr>
                  <w:tcW w:w="660"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单位</w:t>
                  </w:r>
                </w:p>
              </w:tc>
              <w:tc>
                <w:tcPr>
                  <w:tcW w:w="762"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运输方式</w:t>
                  </w:r>
                </w:p>
              </w:tc>
              <w:tc>
                <w:tcPr>
                  <w:tcW w:w="1074"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站区最大储存量</w:t>
                  </w:r>
                </w:p>
              </w:tc>
              <w:tc>
                <w:tcPr>
                  <w:tcW w:w="1058"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1</w:t>
                  </w:r>
                </w:p>
              </w:tc>
              <w:tc>
                <w:tcPr>
                  <w:tcW w:w="522" w:type="pct"/>
                  <w:tcBorders>
                    <w:tl2br w:val="nil"/>
                    <w:tr2bl w:val="nil"/>
                  </w:tcBorders>
                  <w:vAlign w:val="center"/>
                </w:tcPr>
                <w:p>
                  <w:pPr>
                    <w:spacing w:line="240" w:lineRule="auto"/>
                    <w:ind w:firstLine="0" w:firstLineChars="0"/>
                    <w:jc w:val="center"/>
                    <w:rPr>
                      <w:color w:val="000000"/>
                      <w:sz w:val="21"/>
                    </w:rPr>
                  </w:pPr>
                  <w:r>
                    <w:rPr>
                      <w:color w:val="000000"/>
                      <w:sz w:val="21"/>
                    </w:rPr>
                    <w:t>0#柴油</w:t>
                  </w:r>
                </w:p>
              </w:tc>
              <w:tc>
                <w:tcPr>
                  <w:tcW w:w="516" w:type="pct"/>
                  <w:tcBorders>
                    <w:tl2br w:val="nil"/>
                    <w:tr2bl w:val="nil"/>
                  </w:tcBorders>
                  <w:vAlign w:val="center"/>
                </w:tcPr>
                <w:p>
                  <w:pPr>
                    <w:spacing w:line="240" w:lineRule="auto"/>
                    <w:ind w:firstLine="0" w:firstLineChars="0"/>
                    <w:jc w:val="center"/>
                    <w:rPr>
                      <w:color w:val="000000"/>
                      <w:sz w:val="21"/>
                    </w:rPr>
                  </w:pPr>
                  <w:r>
                    <w:rPr>
                      <w:color w:val="000000"/>
                      <w:sz w:val="21"/>
                    </w:rPr>
                    <w:t>200</w:t>
                  </w:r>
                </w:p>
              </w:tc>
              <w:tc>
                <w:tcPr>
                  <w:tcW w:w="660" w:type="pct"/>
                  <w:tcBorders>
                    <w:tl2br w:val="nil"/>
                    <w:tr2bl w:val="nil"/>
                  </w:tcBorders>
                  <w:vAlign w:val="center"/>
                </w:tcPr>
                <w:p>
                  <w:pPr>
                    <w:spacing w:line="240" w:lineRule="auto"/>
                    <w:ind w:firstLine="0" w:firstLineChars="0"/>
                    <w:jc w:val="center"/>
                    <w:rPr>
                      <w:color w:val="000000"/>
                      <w:sz w:val="21"/>
                    </w:rPr>
                  </w:pPr>
                  <w:r>
                    <w:rPr>
                      <w:color w:val="000000"/>
                      <w:sz w:val="21"/>
                    </w:rPr>
                    <w:t>t/a</w:t>
                  </w:r>
                </w:p>
              </w:tc>
              <w:tc>
                <w:tcPr>
                  <w:tcW w:w="762" w:type="pct"/>
                  <w:tcBorders>
                    <w:tl2br w:val="nil"/>
                    <w:tr2bl w:val="nil"/>
                  </w:tcBorders>
                  <w:vAlign w:val="center"/>
                </w:tcPr>
                <w:p>
                  <w:pPr>
                    <w:spacing w:line="240" w:lineRule="auto"/>
                    <w:ind w:firstLine="0" w:firstLineChars="0"/>
                    <w:jc w:val="center"/>
                    <w:rPr>
                      <w:color w:val="000000"/>
                      <w:sz w:val="21"/>
                    </w:rPr>
                  </w:pPr>
                  <w:r>
                    <w:rPr>
                      <w:color w:val="000000"/>
                      <w:sz w:val="21"/>
                    </w:rPr>
                    <w:t>油罐车</w:t>
                  </w:r>
                </w:p>
              </w:tc>
              <w:tc>
                <w:tcPr>
                  <w:tcW w:w="1074" w:type="pct"/>
                  <w:tcBorders>
                    <w:tl2br w:val="nil"/>
                    <w:tr2bl w:val="nil"/>
                  </w:tcBorders>
                  <w:vAlign w:val="center"/>
                </w:tcPr>
                <w:p>
                  <w:pPr>
                    <w:spacing w:line="240" w:lineRule="auto"/>
                    <w:ind w:firstLine="0" w:firstLineChars="0"/>
                    <w:jc w:val="center"/>
                    <w:rPr>
                      <w:color w:val="000000"/>
                      <w:sz w:val="21"/>
                    </w:rPr>
                  </w:pPr>
                  <w:r>
                    <w:rPr>
                      <w:color w:val="000000"/>
                      <w:sz w:val="21"/>
                    </w:rPr>
                    <w:t>50t</w:t>
                  </w:r>
                </w:p>
              </w:tc>
              <w:tc>
                <w:tcPr>
                  <w:tcW w:w="1058" w:type="pct"/>
                  <w:tcBorders>
                    <w:tl2br w:val="nil"/>
                    <w:tr2bl w:val="nil"/>
                  </w:tcBorders>
                  <w:vAlign w:val="center"/>
                </w:tcPr>
                <w:p>
                  <w:pPr>
                    <w:spacing w:line="240" w:lineRule="auto"/>
                    <w:ind w:firstLine="0" w:firstLineChars="0"/>
                    <w:jc w:val="center"/>
                    <w:rPr>
                      <w:color w:val="000000"/>
                      <w:sz w:val="21"/>
                    </w:rPr>
                  </w:pPr>
                  <w:r>
                    <w:rPr>
                      <w:color w:val="000000"/>
                      <w:sz w:val="21"/>
                    </w:rPr>
                    <w:t>供应商益阳石化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2</w:t>
                  </w:r>
                </w:p>
              </w:tc>
              <w:tc>
                <w:tcPr>
                  <w:tcW w:w="522" w:type="pct"/>
                  <w:tcBorders>
                    <w:tl2br w:val="nil"/>
                    <w:tr2bl w:val="nil"/>
                  </w:tcBorders>
                  <w:vAlign w:val="center"/>
                </w:tcPr>
                <w:p>
                  <w:pPr>
                    <w:spacing w:line="240" w:lineRule="auto"/>
                    <w:ind w:firstLine="0" w:firstLineChars="0"/>
                    <w:jc w:val="center"/>
                    <w:rPr>
                      <w:color w:val="000000"/>
                      <w:sz w:val="21"/>
                    </w:rPr>
                  </w:pPr>
                  <w:r>
                    <w:rPr>
                      <w:color w:val="000000"/>
                      <w:sz w:val="21"/>
                    </w:rPr>
                    <w:t>电</w:t>
                  </w:r>
                </w:p>
              </w:tc>
              <w:tc>
                <w:tcPr>
                  <w:tcW w:w="516" w:type="pct"/>
                  <w:tcBorders>
                    <w:tl2br w:val="nil"/>
                    <w:tr2bl w:val="nil"/>
                  </w:tcBorders>
                  <w:vAlign w:val="center"/>
                </w:tcPr>
                <w:p>
                  <w:pPr>
                    <w:spacing w:line="240" w:lineRule="auto"/>
                    <w:ind w:firstLine="0" w:firstLineChars="0"/>
                    <w:jc w:val="center"/>
                    <w:rPr>
                      <w:color w:val="000000"/>
                      <w:sz w:val="21"/>
                    </w:rPr>
                  </w:pPr>
                  <w:r>
                    <w:rPr>
                      <w:color w:val="000000"/>
                      <w:sz w:val="21"/>
                    </w:rPr>
                    <w:t>18000</w:t>
                  </w:r>
                </w:p>
              </w:tc>
              <w:tc>
                <w:tcPr>
                  <w:tcW w:w="660" w:type="pct"/>
                  <w:tcBorders>
                    <w:tl2br w:val="nil"/>
                    <w:tr2bl w:val="nil"/>
                  </w:tcBorders>
                  <w:vAlign w:val="center"/>
                </w:tcPr>
                <w:p>
                  <w:pPr>
                    <w:spacing w:line="240" w:lineRule="auto"/>
                    <w:ind w:firstLine="0" w:firstLineChars="0"/>
                    <w:jc w:val="center"/>
                    <w:rPr>
                      <w:color w:val="000000"/>
                      <w:sz w:val="21"/>
                    </w:rPr>
                  </w:pPr>
                  <w:r>
                    <w:rPr>
                      <w:color w:val="000000"/>
                      <w:sz w:val="21"/>
                    </w:rPr>
                    <w:t>KW</w:t>
                  </w:r>
                  <w:r>
                    <w:rPr>
                      <w:color w:val="000000"/>
                      <w:sz w:val="21"/>
                      <w:szCs w:val="20"/>
                    </w:rPr>
                    <w:t>·h/a</w:t>
                  </w:r>
                </w:p>
              </w:tc>
              <w:tc>
                <w:tcPr>
                  <w:tcW w:w="762" w:type="pct"/>
                  <w:tcBorders>
                    <w:tl2br w:val="nil"/>
                    <w:tr2bl w:val="nil"/>
                  </w:tcBorders>
                  <w:vAlign w:val="center"/>
                </w:tcPr>
                <w:p>
                  <w:pPr>
                    <w:spacing w:line="240" w:lineRule="auto"/>
                    <w:ind w:firstLine="0" w:firstLineChars="0"/>
                    <w:jc w:val="center"/>
                    <w:rPr>
                      <w:color w:val="000000"/>
                      <w:sz w:val="21"/>
                    </w:rPr>
                  </w:pPr>
                </w:p>
              </w:tc>
              <w:tc>
                <w:tcPr>
                  <w:tcW w:w="1074" w:type="pct"/>
                  <w:tcBorders>
                    <w:tl2br w:val="nil"/>
                    <w:tr2bl w:val="nil"/>
                  </w:tcBorders>
                  <w:vAlign w:val="center"/>
                </w:tcPr>
                <w:p>
                  <w:pPr>
                    <w:spacing w:line="240" w:lineRule="auto"/>
                    <w:ind w:firstLine="0" w:firstLineChars="0"/>
                    <w:jc w:val="center"/>
                    <w:rPr>
                      <w:color w:val="000000"/>
                      <w:sz w:val="21"/>
                    </w:rPr>
                  </w:pPr>
                </w:p>
              </w:tc>
              <w:tc>
                <w:tcPr>
                  <w:tcW w:w="1058" w:type="pct"/>
                  <w:tcBorders>
                    <w:tl2br w:val="nil"/>
                    <w:tr2bl w:val="nil"/>
                  </w:tcBorders>
                  <w:vAlign w:val="center"/>
                </w:tcPr>
                <w:p>
                  <w:pPr>
                    <w:spacing w:line="240" w:lineRule="auto"/>
                    <w:ind w:firstLine="0" w:firstLineChars="0"/>
                    <w:jc w:val="center"/>
                    <w:rPr>
                      <w:color w:val="000000"/>
                      <w:sz w:val="21"/>
                    </w:rPr>
                  </w:pPr>
                  <w:r>
                    <w:rPr>
                      <w:color w:val="000000"/>
                      <w:sz w:val="21"/>
                    </w:rPr>
                    <w:t>市政变电站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vAlign w:val="center"/>
                </w:tcPr>
                <w:p>
                  <w:pPr>
                    <w:spacing w:line="240" w:lineRule="auto"/>
                    <w:ind w:firstLine="0" w:firstLineChars="0"/>
                    <w:jc w:val="center"/>
                    <w:rPr>
                      <w:b/>
                      <w:bCs/>
                      <w:color w:val="000000"/>
                      <w:sz w:val="21"/>
                    </w:rPr>
                  </w:pPr>
                  <w:r>
                    <w:rPr>
                      <w:b/>
                      <w:bCs/>
                      <w:color w:val="000000"/>
                      <w:sz w:val="21"/>
                    </w:rPr>
                    <w:t>3</w:t>
                  </w:r>
                </w:p>
              </w:tc>
              <w:tc>
                <w:tcPr>
                  <w:tcW w:w="522" w:type="pct"/>
                  <w:tcBorders>
                    <w:tl2br w:val="nil"/>
                    <w:tr2bl w:val="nil"/>
                  </w:tcBorders>
                  <w:vAlign w:val="center"/>
                </w:tcPr>
                <w:p>
                  <w:pPr>
                    <w:spacing w:line="240" w:lineRule="auto"/>
                    <w:ind w:firstLine="0" w:firstLineChars="0"/>
                    <w:jc w:val="center"/>
                    <w:rPr>
                      <w:color w:val="000000"/>
                      <w:sz w:val="21"/>
                    </w:rPr>
                  </w:pPr>
                  <w:r>
                    <w:rPr>
                      <w:color w:val="000000"/>
                      <w:sz w:val="21"/>
                    </w:rPr>
                    <w:t>水</w:t>
                  </w:r>
                </w:p>
              </w:tc>
              <w:tc>
                <w:tcPr>
                  <w:tcW w:w="516" w:type="pct"/>
                  <w:tcBorders>
                    <w:tl2br w:val="nil"/>
                    <w:tr2bl w:val="nil"/>
                  </w:tcBorders>
                  <w:vAlign w:val="center"/>
                </w:tcPr>
                <w:p>
                  <w:pPr>
                    <w:spacing w:line="240" w:lineRule="auto"/>
                    <w:ind w:firstLine="0" w:firstLineChars="0"/>
                    <w:jc w:val="center"/>
                    <w:rPr>
                      <w:color w:val="000000"/>
                      <w:sz w:val="21"/>
                    </w:rPr>
                  </w:pPr>
                  <w:r>
                    <w:rPr>
                      <w:color w:val="000000"/>
                      <w:sz w:val="21"/>
                    </w:rPr>
                    <w:t>176</w:t>
                  </w:r>
                </w:p>
              </w:tc>
              <w:tc>
                <w:tcPr>
                  <w:tcW w:w="660" w:type="pct"/>
                  <w:tcBorders>
                    <w:tl2br w:val="nil"/>
                    <w:tr2bl w:val="nil"/>
                  </w:tcBorders>
                  <w:vAlign w:val="center"/>
                </w:tcPr>
                <w:p>
                  <w:pPr>
                    <w:spacing w:line="240" w:lineRule="auto"/>
                    <w:ind w:firstLine="0" w:firstLineChars="0"/>
                    <w:jc w:val="center"/>
                    <w:rPr>
                      <w:color w:val="000000"/>
                      <w:sz w:val="21"/>
                    </w:rPr>
                  </w:pPr>
                  <w:r>
                    <w:rPr>
                      <w:color w:val="000000"/>
                      <w:sz w:val="21"/>
                    </w:rPr>
                    <w:t>m³/a</w:t>
                  </w:r>
                </w:p>
              </w:tc>
              <w:tc>
                <w:tcPr>
                  <w:tcW w:w="762" w:type="pct"/>
                  <w:tcBorders>
                    <w:tl2br w:val="nil"/>
                    <w:tr2bl w:val="nil"/>
                  </w:tcBorders>
                  <w:vAlign w:val="center"/>
                </w:tcPr>
                <w:p>
                  <w:pPr>
                    <w:spacing w:line="240" w:lineRule="auto"/>
                    <w:ind w:firstLine="0" w:firstLineChars="0"/>
                    <w:jc w:val="center"/>
                    <w:rPr>
                      <w:color w:val="000000"/>
                      <w:sz w:val="21"/>
                    </w:rPr>
                  </w:pPr>
                </w:p>
              </w:tc>
              <w:tc>
                <w:tcPr>
                  <w:tcW w:w="1074" w:type="pct"/>
                  <w:tcBorders>
                    <w:tl2br w:val="nil"/>
                    <w:tr2bl w:val="nil"/>
                  </w:tcBorders>
                  <w:vAlign w:val="center"/>
                </w:tcPr>
                <w:p>
                  <w:pPr>
                    <w:spacing w:line="240" w:lineRule="auto"/>
                    <w:ind w:firstLine="0" w:firstLineChars="0"/>
                    <w:jc w:val="center"/>
                    <w:rPr>
                      <w:color w:val="000000"/>
                      <w:sz w:val="21"/>
                    </w:rPr>
                  </w:pPr>
                </w:p>
              </w:tc>
              <w:tc>
                <w:tcPr>
                  <w:tcW w:w="1058" w:type="pct"/>
                  <w:tcBorders>
                    <w:tl2br w:val="nil"/>
                    <w:tr2bl w:val="nil"/>
                  </w:tcBorders>
                  <w:vAlign w:val="center"/>
                </w:tcPr>
                <w:p>
                  <w:pPr>
                    <w:spacing w:line="240" w:lineRule="auto"/>
                    <w:ind w:firstLine="0" w:firstLineChars="0"/>
                    <w:jc w:val="center"/>
                    <w:rPr>
                      <w:color w:val="000000"/>
                      <w:sz w:val="21"/>
                    </w:rPr>
                  </w:pPr>
                  <w:r>
                    <w:rPr>
                      <w:rFonts w:hint="eastAsia"/>
                      <w:color w:val="000000"/>
                      <w:sz w:val="21"/>
                    </w:rPr>
                    <w:t>乡镇</w:t>
                  </w:r>
                  <w:r>
                    <w:rPr>
                      <w:color w:val="000000"/>
                      <w:sz w:val="21"/>
                    </w:rPr>
                    <w:t>供水</w:t>
                  </w:r>
                </w:p>
              </w:tc>
            </w:tr>
          </w:tbl>
          <w:p>
            <w:pPr>
              <w:ind w:firstLine="0" w:firstLineChars="0"/>
            </w:pPr>
            <w:r>
              <w:rPr>
                <w:rFonts w:hint="eastAsia"/>
                <w:b/>
                <w:bCs/>
              </w:rPr>
              <w:t>5.1</w:t>
            </w:r>
            <w:r>
              <w:rPr>
                <w:b/>
                <w:bCs/>
              </w:rPr>
              <w:t>主要原辅材料理化性质</w:t>
            </w:r>
          </w:p>
          <w:p>
            <w:pPr>
              <w:ind w:firstLine="560"/>
              <w:rPr>
                <w:rFonts w:eastAsiaTheme="minorEastAsia"/>
              </w:rPr>
            </w:pPr>
            <w:r>
              <w:t>柴油的理化性质和危险特性如下表：</w:t>
            </w:r>
          </w:p>
          <w:p>
            <w:pPr>
              <w:spacing w:line="240" w:lineRule="auto"/>
              <w:ind w:firstLine="0" w:firstLineChars="0"/>
              <w:jc w:val="center"/>
              <w:rPr>
                <w:b/>
                <w:color w:val="000000"/>
                <w:sz w:val="21"/>
                <w:shd w:val="clear" w:color="auto" w:fill="FFFFFF"/>
              </w:rPr>
            </w:pPr>
            <w:r>
              <w:rPr>
                <w:b/>
                <w:color w:val="000000"/>
                <w:sz w:val="21"/>
                <w:shd w:val="clear" w:color="auto" w:fill="FFFFFF"/>
              </w:rPr>
              <w:t>表1-</w:t>
            </w:r>
            <w:r>
              <w:rPr>
                <w:rFonts w:hint="eastAsia"/>
                <w:b/>
                <w:color w:val="000000"/>
                <w:sz w:val="21"/>
                <w:shd w:val="clear" w:color="auto" w:fill="FFFFFF"/>
              </w:rPr>
              <w:t>5</w:t>
            </w:r>
            <w:r>
              <w:rPr>
                <w:b/>
                <w:color w:val="000000"/>
                <w:sz w:val="21"/>
                <w:shd w:val="clear" w:color="auto" w:fill="FFFFFF"/>
              </w:rPr>
              <w:t xml:space="preserve"> 柴油的理化性质和危险特性</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2228"/>
              <w:gridCol w:w="446"/>
              <w:gridCol w:w="455"/>
              <w:gridCol w:w="1543"/>
              <w:gridCol w:w="148"/>
              <w:gridCol w:w="298"/>
              <w:gridCol w:w="24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0" w:type="pct"/>
                  <w:gridSpan w:val="8"/>
                  <w:tcBorders>
                    <w:tl2br w:val="nil"/>
                    <w:tr2bl w:val="nil"/>
                  </w:tcBorders>
                  <w:shd w:val="clear" w:color="auto" w:fill="auto"/>
                  <w:vAlign w:val="center"/>
                </w:tcPr>
                <w:p>
                  <w:pPr>
                    <w:spacing w:line="240" w:lineRule="auto"/>
                    <w:ind w:firstLine="0" w:firstLineChars="0"/>
                    <w:jc w:val="center"/>
                    <w:rPr>
                      <w:color w:val="000000"/>
                    </w:rPr>
                  </w:pPr>
                  <w:r>
                    <w:rPr>
                      <w:b/>
                      <w:bCs/>
                      <w:color w:val="000000"/>
                      <w:sz w:val="21"/>
                      <w:szCs w:val="20"/>
                    </w:rPr>
                    <w:t>第一部分  危险性概述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危险性类别：</w:t>
                  </w:r>
                </w:p>
              </w:tc>
              <w:tc>
                <w:tcPr>
                  <w:tcW w:w="1671"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第3.3类高闪点 易燃液体</w:t>
                  </w:r>
                </w:p>
              </w:tc>
              <w:tc>
                <w:tcPr>
                  <w:tcW w:w="1062"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燃爆危险：</w:t>
                  </w:r>
                </w:p>
              </w:tc>
              <w:tc>
                <w:tcPr>
                  <w:tcW w:w="1289" w:type="pct"/>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易燃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侵入途径：</w:t>
                  </w:r>
                </w:p>
              </w:tc>
              <w:tc>
                <w:tcPr>
                  <w:tcW w:w="1671"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吸入、食入、经皮吸收</w:t>
                  </w:r>
                </w:p>
              </w:tc>
              <w:tc>
                <w:tcPr>
                  <w:tcW w:w="1062"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有害燃烧产物：</w:t>
                  </w:r>
                </w:p>
              </w:tc>
              <w:tc>
                <w:tcPr>
                  <w:tcW w:w="1289" w:type="pct"/>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一氧化碳、二氧化碳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环境危害：</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该物质对环境有危害，应特别注意对地表水、土壤、大气和饮用水的污染。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0" w:type="pct"/>
                  <w:gridSpan w:val="8"/>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第二部分  理化特性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外观及性状：</w:t>
                  </w:r>
                </w:p>
              </w:tc>
              <w:tc>
                <w:tcPr>
                  <w:tcW w:w="142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稍有粘性的棕色液体。</w:t>
                  </w:r>
                </w:p>
              </w:tc>
              <w:tc>
                <w:tcPr>
                  <w:tcW w:w="1146"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主要用途：</w:t>
                  </w:r>
                </w:p>
              </w:tc>
              <w:tc>
                <w:tcPr>
                  <w:tcW w:w="144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用作柴油机的燃料等。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闪点（℃）：</w:t>
                  </w:r>
                </w:p>
              </w:tc>
              <w:tc>
                <w:tcPr>
                  <w:tcW w:w="142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45～55℃</w:t>
                  </w:r>
                </w:p>
              </w:tc>
              <w:tc>
                <w:tcPr>
                  <w:tcW w:w="1146"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相对密度（水＝1）：</w:t>
                  </w:r>
                </w:p>
              </w:tc>
              <w:tc>
                <w:tcPr>
                  <w:tcW w:w="144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0.87～0.9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沸点（℃）：</w:t>
                  </w:r>
                </w:p>
              </w:tc>
              <w:tc>
                <w:tcPr>
                  <w:tcW w:w="142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200～350℃</w:t>
                  </w:r>
                </w:p>
              </w:tc>
              <w:tc>
                <w:tcPr>
                  <w:tcW w:w="1146"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爆炸上限％（V/V）：</w:t>
                  </w:r>
                </w:p>
              </w:tc>
              <w:tc>
                <w:tcPr>
                  <w:tcW w:w="144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自然点（℃）：</w:t>
                  </w:r>
                </w:p>
              </w:tc>
              <w:tc>
                <w:tcPr>
                  <w:tcW w:w="142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257</w:t>
                  </w:r>
                </w:p>
              </w:tc>
              <w:tc>
                <w:tcPr>
                  <w:tcW w:w="1146"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爆炸下限％（V/V）：</w:t>
                  </w:r>
                </w:p>
              </w:tc>
              <w:tc>
                <w:tcPr>
                  <w:tcW w:w="1448" w:type="pct"/>
                  <w:gridSpan w:val="2"/>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溶解性：</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不溶于水，易溶于苯、二硫化碳、醇，易溶于脂肪。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0" w:type="pct"/>
                  <w:gridSpan w:val="8"/>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第三部分  稳定性及化学活性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稳定性：</w:t>
                  </w:r>
                </w:p>
              </w:tc>
              <w:tc>
                <w:tcPr>
                  <w:tcW w:w="1190" w:type="pct"/>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稳定</w:t>
                  </w:r>
                </w:p>
              </w:tc>
              <w:tc>
                <w:tcPr>
                  <w:tcW w:w="1305"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避免接触的条件：</w:t>
                  </w:r>
                </w:p>
              </w:tc>
              <w:tc>
                <w:tcPr>
                  <w:tcW w:w="1527"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明火、高热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禁配物：</w:t>
                  </w:r>
                </w:p>
              </w:tc>
              <w:tc>
                <w:tcPr>
                  <w:tcW w:w="1190" w:type="pct"/>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强氧化剂、卤素</w:t>
                  </w:r>
                </w:p>
              </w:tc>
              <w:tc>
                <w:tcPr>
                  <w:tcW w:w="1305"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聚合危害：</w:t>
                  </w:r>
                </w:p>
              </w:tc>
              <w:tc>
                <w:tcPr>
                  <w:tcW w:w="1527" w:type="pct"/>
                  <w:gridSpan w:val="3"/>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不聚合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分解产物：</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一氧化碳、二氧化碳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0" w:type="pct"/>
                  <w:gridSpan w:val="8"/>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第四部分  毒理学资料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急性毒性：</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LD50       LC50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急性中毒：</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皮肤接触柴油可引起接触性皮炎、油性痤疮，吸入可引起吸入性肺炎，能经胎盘进入胎儿血中。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慢性中毒：</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柴油废气可引起眼、鼻刺激症状，头痛。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刺激性：</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具有刺激作用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76" w:type="pct"/>
                  <w:tcBorders>
                    <w:tl2br w:val="nil"/>
                    <w:tr2bl w:val="nil"/>
                  </w:tcBorders>
                  <w:shd w:val="clear" w:color="auto" w:fill="auto"/>
                  <w:vAlign w:val="center"/>
                </w:tcPr>
                <w:p>
                  <w:pPr>
                    <w:spacing w:line="240" w:lineRule="auto"/>
                    <w:ind w:firstLine="0" w:firstLineChars="0"/>
                    <w:jc w:val="both"/>
                    <w:rPr>
                      <w:b/>
                      <w:bCs/>
                      <w:color w:val="000000"/>
                    </w:rPr>
                  </w:pPr>
                  <w:r>
                    <w:rPr>
                      <w:b/>
                      <w:bCs/>
                      <w:color w:val="000000"/>
                      <w:sz w:val="21"/>
                      <w:szCs w:val="20"/>
                    </w:rPr>
                    <w:t>最高容许浓度</w:t>
                  </w:r>
                </w:p>
              </w:tc>
              <w:tc>
                <w:tcPr>
                  <w:tcW w:w="4023" w:type="pct"/>
                  <w:gridSpan w:val="7"/>
                  <w:tcBorders>
                    <w:tl2br w:val="nil"/>
                    <w:tr2bl w:val="nil"/>
                  </w:tcBorders>
                  <w:shd w:val="clear" w:color="auto" w:fill="auto"/>
                  <w:vAlign w:val="center"/>
                </w:tcPr>
                <w:p>
                  <w:pPr>
                    <w:spacing w:line="240" w:lineRule="auto"/>
                    <w:ind w:firstLine="0" w:firstLineChars="0"/>
                    <w:jc w:val="both"/>
                    <w:rPr>
                      <w:color w:val="000000"/>
                    </w:rPr>
                  </w:pPr>
                  <w:r>
                    <w:rPr>
                      <w:color w:val="000000"/>
                      <w:sz w:val="21"/>
                      <w:szCs w:val="20"/>
                    </w:rPr>
                    <w:t>目前无标准</w:t>
                  </w:r>
                </w:p>
              </w:tc>
            </w:tr>
          </w:tbl>
          <w:p>
            <w:pPr>
              <w:numPr>
                <w:ilvl w:val="0"/>
                <w:numId w:val="3"/>
              </w:numPr>
              <w:ind w:firstLine="0" w:firstLineChars="0"/>
              <w:rPr>
                <w:b/>
                <w:bCs/>
              </w:rPr>
            </w:pPr>
            <w:r>
              <w:rPr>
                <w:b/>
                <w:bCs/>
              </w:rPr>
              <w:t>总平面布置</w:t>
            </w:r>
          </w:p>
          <w:p>
            <w:pPr>
              <w:ind w:firstLine="560"/>
            </w:pPr>
            <w:r>
              <w:t>本项目位于益阳市桃江县鲊埠回族乡鲊埠社区一里街组。</w:t>
            </w:r>
            <w:r>
              <w:rPr>
                <w:rFonts w:hint="eastAsia"/>
              </w:rPr>
              <w:t>加油点北边为乡道与西面G207相接。</w:t>
            </w:r>
            <w:r>
              <w:t>站内中央位置为加油区（罩棚），设4台加油机</w:t>
            </w:r>
            <w:r>
              <w:rPr>
                <w:rFonts w:hint="eastAsia"/>
              </w:rPr>
              <w:t>（两台已封机）</w:t>
            </w:r>
            <w:r>
              <w:t>，加油区南侧为服务区、站房。加油区西测为厕所。站房正北侧为油罐区，油罐区设4具SF埋地油罐</w:t>
            </w:r>
            <w:r>
              <w:rPr>
                <w:rFonts w:hint="eastAsia"/>
              </w:rPr>
              <w:t>（两个闲置）</w:t>
            </w:r>
            <w:r>
              <w:t>。站房正东侧为监控室、财务室、休息室，西侧</w:t>
            </w:r>
            <w:r>
              <w:rPr>
                <w:rFonts w:hint="eastAsia"/>
              </w:rPr>
              <w:t>为</w:t>
            </w:r>
            <w:r>
              <w:t>值班室、休息室、杂物间，南侧为存储间、食堂、厕所。站区总平面布置图见附图2。</w:t>
            </w:r>
          </w:p>
          <w:p>
            <w:pPr>
              <w:ind w:firstLine="560"/>
            </w:pPr>
            <w:r>
              <w:t>本项目配电室距油罐区10m，食堂距油罐区20m，满足《汽车加油加气站设计与施工规范》（GB50156-2012</w:t>
            </w:r>
            <w:r>
              <w:rPr>
                <w:rFonts w:hint="eastAsia"/>
              </w:rPr>
              <w:t xml:space="preserve">  2014年版</w:t>
            </w:r>
            <w:r>
              <w:t>，5.0.8“站内平面布置”的要求，即加油加气站的变配电间或室外变压器应布设在爆炸危险区域之外。</w:t>
            </w:r>
            <w:r>
              <w:rPr>
                <w:rFonts w:hint="eastAsia"/>
              </w:rPr>
              <w:t>桃江县公安消防大队已消防验收，见附件6。</w:t>
            </w:r>
          </w:p>
          <w:p>
            <w:pPr>
              <w:ind w:firstLine="560"/>
            </w:pPr>
            <w:r>
              <w:t>对比《汽车加油加气站设计与施工规范》（GB50156-2012</w:t>
            </w:r>
            <w:r>
              <w:rPr>
                <w:rFonts w:hint="eastAsia"/>
              </w:rPr>
              <w:t xml:space="preserve">  2014年版</w:t>
            </w:r>
            <w:r>
              <w:t>）中相应规定，本项目的柴油设备满足与站外建筑物的安全间距，详情如下表。</w:t>
            </w:r>
          </w:p>
          <w:p>
            <w:pPr>
              <w:pStyle w:val="22"/>
              <w:autoSpaceDE w:val="0"/>
              <w:autoSpaceDN w:val="0"/>
              <w:spacing w:line="240" w:lineRule="auto"/>
              <w:ind w:firstLine="422"/>
              <w:jc w:val="center"/>
              <w:rPr>
                <w:rFonts w:eastAsiaTheme="minorEastAsia"/>
                <w:b/>
                <w:bCs/>
                <w:color w:val="000000"/>
              </w:rPr>
            </w:pPr>
            <w:r>
              <w:rPr>
                <w:b/>
                <w:color w:val="000000"/>
                <w:sz w:val="21"/>
                <w:shd w:val="clear" w:color="auto" w:fill="FFFFFF"/>
              </w:rPr>
              <w:t>表1-6 柴油油设备与站外（建）构筑物的安全距离（m）</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27"/>
              <w:gridCol w:w="3332"/>
              <w:gridCol w:w="1645"/>
              <w:gridCol w:w="16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460" w:type="pct"/>
                  <w:gridSpan w:val="2"/>
                  <w:vMerge w:val="restar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站外建筑物</w:t>
                  </w:r>
                </w:p>
              </w:tc>
              <w:tc>
                <w:tcPr>
                  <w:tcW w:w="1779" w:type="pct"/>
                  <w:tcBorders>
                    <w:tl2br w:val="nil"/>
                    <w:tr2bl w:val="nil"/>
                  </w:tcBorders>
                  <w:shd w:val="clear" w:color="auto" w:fill="auto"/>
                  <w:vAlign w:val="center"/>
                </w:tcPr>
                <w:p>
                  <w:pPr>
                    <w:spacing w:line="240" w:lineRule="auto"/>
                    <w:ind w:firstLine="0" w:firstLineChars="0"/>
                    <w:jc w:val="center"/>
                    <w:rPr>
                      <w:b/>
                      <w:bCs/>
                      <w:color w:val="000000"/>
                    </w:rPr>
                  </w:pPr>
                  <w:r>
                    <w:rPr>
                      <w:b/>
                      <w:color w:val="000000"/>
                      <w:sz w:val="21"/>
                      <w:szCs w:val="20"/>
                    </w:rPr>
                    <w:t>埋地油罐</w:t>
                  </w:r>
                </w:p>
              </w:tc>
              <w:tc>
                <w:tcPr>
                  <w:tcW w:w="1759" w:type="pct"/>
                  <w:gridSpan w:val="2"/>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本项目室外最近居民点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60" w:type="pct"/>
                  <w:gridSpan w:val="2"/>
                  <w:vMerge w:val="continue"/>
                  <w:tcBorders>
                    <w:tl2br w:val="nil"/>
                    <w:tr2bl w:val="nil"/>
                  </w:tcBorders>
                  <w:shd w:val="clear" w:color="auto" w:fill="auto"/>
                  <w:vAlign w:val="center"/>
                </w:tcPr>
                <w:p>
                  <w:pPr>
                    <w:spacing w:line="240" w:lineRule="auto"/>
                    <w:ind w:firstLine="0" w:firstLineChars="0"/>
                    <w:jc w:val="both"/>
                    <w:rPr>
                      <w:b/>
                      <w:sz w:val="20"/>
                      <w:szCs w:val="20"/>
                    </w:rPr>
                  </w:pPr>
                </w:p>
              </w:tc>
              <w:tc>
                <w:tcPr>
                  <w:tcW w:w="1779"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三级站</w:t>
                  </w:r>
                </w:p>
              </w:tc>
              <w:tc>
                <w:tcPr>
                  <w:tcW w:w="879"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名称</w:t>
                  </w:r>
                </w:p>
              </w:tc>
              <w:tc>
                <w:tcPr>
                  <w:tcW w:w="879"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8" w:type="pct"/>
                  <w:vMerge w:val="restar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民用建筑物保护类别</w:t>
                  </w:r>
                </w:p>
              </w:tc>
              <w:tc>
                <w:tcPr>
                  <w:tcW w:w="922"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一类保护物</w:t>
                  </w:r>
                </w:p>
              </w:tc>
              <w:tc>
                <w:tcPr>
                  <w:tcW w:w="1779"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6</w:t>
                  </w:r>
                </w:p>
              </w:tc>
              <w:tc>
                <w:tcPr>
                  <w:tcW w:w="879" w:type="pct"/>
                  <w:vMerge w:val="restar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东侧居民点</w:t>
                  </w:r>
                </w:p>
              </w:tc>
              <w:tc>
                <w:tcPr>
                  <w:tcW w:w="879" w:type="pct"/>
                  <w:vMerge w:val="restart"/>
                  <w:tcBorders>
                    <w:tl2br w:val="nil"/>
                    <w:tr2bl w:val="nil"/>
                  </w:tcBorders>
                  <w:shd w:val="clear" w:color="auto" w:fill="auto"/>
                  <w:vAlign w:val="center"/>
                </w:tcPr>
                <w:p>
                  <w:pPr>
                    <w:spacing w:line="240" w:lineRule="auto"/>
                    <w:ind w:firstLine="0" w:firstLineChars="0"/>
                    <w:jc w:val="center"/>
                    <w:rPr>
                      <w:color w:val="000000"/>
                    </w:rPr>
                  </w:pPr>
                  <w:r>
                    <w:rPr>
                      <w:rFonts w:hint="eastAsia"/>
                      <w:color w:val="000000"/>
                      <w:sz w:val="21"/>
                      <w:szCs w:val="20"/>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8" w:type="pct"/>
                  <w:vMerge w:val="continue"/>
                  <w:tcBorders>
                    <w:tl2br w:val="nil"/>
                    <w:tr2bl w:val="nil"/>
                  </w:tcBorders>
                  <w:shd w:val="clear" w:color="auto" w:fill="auto"/>
                  <w:vAlign w:val="center"/>
                </w:tcPr>
                <w:p>
                  <w:pPr>
                    <w:spacing w:line="240" w:lineRule="auto"/>
                    <w:ind w:firstLine="0" w:firstLineChars="0"/>
                    <w:jc w:val="both"/>
                    <w:rPr>
                      <w:b/>
                      <w:sz w:val="20"/>
                      <w:szCs w:val="20"/>
                    </w:rPr>
                  </w:pPr>
                </w:p>
              </w:tc>
              <w:tc>
                <w:tcPr>
                  <w:tcW w:w="922"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二类保护物</w:t>
                  </w:r>
                </w:p>
              </w:tc>
              <w:tc>
                <w:tcPr>
                  <w:tcW w:w="1779"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6</w:t>
                  </w:r>
                </w:p>
              </w:tc>
              <w:tc>
                <w:tcPr>
                  <w:tcW w:w="879"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879"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38" w:type="pct"/>
                  <w:vMerge w:val="continue"/>
                  <w:tcBorders>
                    <w:tl2br w:val="nil"/>
                    <w:tr2bl w:val="nil"/>
                  </w:tcBorders>
                  <w:shd w:val="clear" w:color="auto" w:fill="auto"/>
                  <w:vAlign w:val="center"/>
                </w:tcPr>
                <w:p>
                  <w:pPr>
                    <w:spacing w:line="240" w:lineRule="auto"/>
                    <w:ind w:firstLine="0" w:firstLineChars="0"/>
                    <w:jc w:val="both"/>
                    <w:rPr>
                      <w:b/>
                      <w:sz w:val="20"/>
                      <w:szCs w:val="20"/>
                    </w:rPr>
                  </w:pPr>
                </w:p>
              </w:tc>
              <w:tc>
                <w:tcPr>
                  <w:tcW w:w="922"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szCs w:val="20"/>
                    </w:rPr>
                    <w:t>三类保护物</w:t>
                  </w:r>
                </w:p>
              </w:tc>
              <w:tc>
                <w:tcPr>
                  <w:tcW w:w="1779"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6</w:t>
                  </w:r>
                </w:p>
              </w:tc>
              <w:tc>
                <w:tcPr>
                  <w:tcW w:w="879"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879"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bl>
          <w:p>
            <w:pPr>
              <w:ind w:firstLine="562"/>
              <w:jc w:val="both"/>
              <w:rPr>
                <w:rFonts w:eastAsiaTheme="minorEastAsia"/>
                <w:b/>
                <w:bCs/>
                <w:color w:val="000000"/>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88" w:hRule="atLeast"/>
        </w:trPr>
        <w:tc>
          <w:tcPr>
            <w:tcW w:w="5000" w:type="pct"/>
            <w:gridSpan w:val="10"/>
            <w:tcBorders>
              <w:tl2br w:val="nil"/>
              <w:tr2bl w:val="nil"/>
            </w:tcBorders>
            <w:noWrap/>
            <w:vAlign w:val="center"/>
          </w:tcPr>
          <w:p>
            <w:pPr>
              <w:numPr>
                <w:ilvl w:val="0"/>
                <w:numId w:val="3"/>
              </w:numPr>
              <w:ind w:firstLine="0" w:firstLineChars="0"/>
              <w:rPr>
                <w:b/>
                <w:bCs/>
              </w:rPr>
            </w:pPr>
            <w:r>
              <w:rPr>
                <w:b/>
                <w:bCs/>
              </w:rPr>
              <w:t>公用工程</w:t>
            </w:r>
          </w:p>
          <w:p>
            <w:pPr>
              <w:ind w:firstLine="560"/>
            </w:pPr>
            <w:r>
              <w:t>（1）给水</w:t>
            </w:r>
          </w:p>
          <w:p>
            <w:pPr>
              <w:pStyle w:val="14"/>
              <w:ind w:firstLine="560"/>
            </w:pPr>
            <w:r>
              <w:t>本项目</w:t>
            </w:r>
            <w:r>
              <w:rPr>
                <w:rFonts w:hint="eastAsia"/>
              </w:rPr>
              <w:t>用水来自乡镇自来水。</w:t>
            </w:r>
            <w:r>
              <w:t>加油点提供食宿。项目用水主要为职工生活用水</w:t>
            </w:r>
            <w:r>
              <w:rPr>
                <w:rFonts w:hint="eastAsia"/>
              </w:rPr>
              <w:t>、地面冲洗用水</w:t>
            </w:r>
            <w:r>
              <w:t>，</w:t>
            </w:r>
            <w:r>
              <w:rPr>
                <w:rFonts w:hint="eastAsia"/>
              </w:rPr>
              <w:t>根据湖南省地方标准《用水定额》（DB43/T388-2020）中农村居民生活分散式供水通用值为9</w:t>
            </w:r>
            <w:r>
              <w:t>0L/</w:t>
            </w:r>
            <w:r>
              <w:rPr>
                <w:rFonts w:hint="eastAsia"/>
              </w:rPr>
              <w:t>人.</w:t>
            </w:r>
            <w:r>
              <w:t>d 计，</w:t>
            </w:r>
            <w:r>
              <w:rPr>
                <w:rFonts w:hint="eastAsia"/>
              </w:rPr>
              <w:t>在此考虑少量顾客卫生间用水，生活用水量按照100</w:t>
            </w:r>
            <w:r>
              <w:t>L/人</w:t>
            </w:r>
            <w:r>
              <w:rPr>
                <w:rFonts w:hint="eastAsia"/>
              </w:rPr>
              <w:t>.d</w:t>
            </w:r>
            <w:r>
              <w:t>计</w:t>
            </w:r>
            <w:r>
              <w:rPr>
                <w:rFonts w:hint="eastAsia"/>
              </w:rPr>
              <w:t>。</w:t>
            </w:r>
            <w:r>
              <w:t>本项目有员工2人，则本项目生活用水用量约为0.</w:t>
            </w:r>
            <w:r>
              <w:rPr>
                <w:rFonts w:hint="eastAsia"/>
              </w:rPr>
              <w:t>2</w:t>
            </w:r>
            <w:r>
              <w:t>m³/d（</w:t>
            </w:r>
            <w:r>
              <w:rPr>
                <w:rFonts w:hint="eastAsia"/>
              </w:rPr>
              <w:t>73</w:t>
            </w:r>
            <w:r>
              <w:t>m³/a）。地面冲洗用水为每月冲洗一次，每次用水为1m³，则其用水量为12m³/a。本项目总用水量为</w:t>
            </w:r>
            <w:r>
              <w:rPr>
                <w:rFonts w:hint="eastAsia"/>
              </w:rPr>
              <w:t>85</w:t>
            </w:r>
            <w:r>
              <w:t>m³/a。</w:t>
            </w:r>
          </w:p>
          <w:p>
            <w:pPr>
              <w:ind w:firstLine="560"/>
            </w:pPr>
            <w:r>
              <w:t>（2）排水</w:t>
            </w:r>
          </w:p>
          <w:p>
            <w:pPr>
              <w:ind w:firstLine="560"/>
            </w:pPr>
            <w:r>
              <w:t>本项目外排废水主要为职工与司乘人员生活污水。室外排水采用雨、污分流制排水系统。</w:t>
            </w:r>
            <w:r>
              <w:rPr>
                <w:rFonts w:hint="eastAsia"/>
                <w:u w:val="single"/>
              </w:rPr>
              <w:t>由于加油区设置罩棚，且罩棚旁有排水沟，雨水不会涌入加油区，因此加油区“跑冒滴漏”产生的油品不会进入初期雨水，少量初期雨水进入罩棚区截水沟，经隔油池处理后用于绿化，不会对附近地表水体产生不利影响。</w:t>
            </w:r>
          </w:p>
          <w:p>
            <w:pPr>
              <w:ind w:firstLine="560"/>
              <w:rPr>
                <w:u w:val="wave"/>
              </w:rPr>
            </w:pPr>
            <w:r>
              <w:rPr>
                <w:u w:val="wave"/>
              </w:rPr>
              <w:t>本项目废水</w:t>
            </w:r>
            <w:r>
              <w:rPr>
                <w:rFonts w:hint="eastAsia"/>
                <w:u w:val="wave"/>
              </w:rPr>
              <w:t>产生系数按0.9记，则本项目生活污水产生量</w:t>
            </w:r>
            <w:r>
              <w:rPr>
                <w:u w:val="wave"/>
              </w:rPr>
              <w:t>为0.</w:t>
            </w:r>
            <w:r>
              <w:rPr>
                <w:rFonts w:hint="eastAsia"/>
                <w:u w:val="wave"/>
              </w:rPr>
              <w:t>18</w:t>
            </w:r>
            <w:r>
              <w:rPr>
                <w:u w:val="wave"/>
              </w:rPr>
              <w:t>m³/d</w:t>
            </w:r>
            <w:r>
              <w:rPr>
                <w:rFonts w:hint="eastAsia"/>
                <w:u w:val="wave"/>
              </w:rPr>
              <w:t>（65.7</w:t>
            </w:r>
            <w:r>
              <w:rPr>
                <w:u w:val="wave"/>
              </w:rPr>
              <w:t>m³/a</w:t>
            </w:r>
            <w:r>
              <w:rPr>
                <w:rFonts w:hint="eastAsia"/>
                <w:u w:val="wave"/>
              </w:rPr>
              <w:t>）</w:t>
            </w:r>
            <w:r>
              <w:rPr>
                <w:u w:val="wave"/>
              </w:rPr>
              <w:t>。</w:t>
            </w:r>
            <w:r>
              <w:rPr>
                <w:rFonts w:hint="eastAsia"/>
                <w:u w:val="wave"/>
              </w:rPr>
              <w:t>场地清洗废水产生量为10.8m</w:t>
            </w:r>
            <w:r>
              <w:rPr>
                <w:rFonts w:hint="eastAsia"/>
                <w:u w:val="wave"/>
                <w:vertAlign w:val="superscript"/>
              </w:rPr>
              <w:t>3</w:t>
            </w:r>
            <w:r>
              <w:rPr>
                <w:rFonts w:hint="eastAsia"/>
                <w:u w:val="wave"/>
              </w:rPr>
              <w:t>/a。其中65.7</w:t>
            </w:r>
            <w:r>
              <w:rPr>
                <w:u w:val="wave"/>
              </w:rPr>
              <w:t>m</w:t>
            </w:r>
            <w:r>
              <w:rPr>
                <w:rFonts w:hint="eastAsia"/>
                <w:u w:val="wave"/>
                <w:vertAlign w:val="superscript"/>
              </w:rPr>
              <w:t>3</w:t>
            </w:r>
            <w:r>
              <w:rPr>
                <w:u w:val="wave"/>
              </w:rPr>
              <w:t>/a</w:t>
            </w:r>
            <w:r>
              <w:rPr>
                <w:rFonts w:hint="eastAsia"/>
                <w:u w:val="wave"/>
              </w:rPr>
              <w:t>生活</w:t>
            </w:r>
            <w:r>
              <w:rPr>
                <w:u w:val="wave"/>
              </w:rPr>
              <w:t>污水进</w:t>
            </w:r>
            <w:r>
              <w:rPr>
                <w:rFonts w:hint="eastAsia"/>
                <w:u w:val="wave"/>
              </w:rPr>
              <w:t>入</w:t>
            </w:r>
            <w:r>
              <w:rPr>
                <w:u w:val="wave"/>
              </w:rPr>
              <w:t>化粪池定期清掏</w:t>
            </w:r>
            <w:r>
              <w:rPr>
                <w:rFonts w:hint="eastAsia"/>
                <w:u w:val="wave"/>
              </w:rPr>
              <w:t>，用于周围菜地浇灌</w:t>
            </w:r>
            <w:r>
              <w:rPr>
                <w:u w:val="wave"/>
              </w:rPr>
              <w:t>。</w:t>
            </w:r>
            <w:r>
              <w:rPr>
                <w:rFonts w:hint="eastAsia"/>
                <w:u w:val="wave"/>
              </w:rPr>
              <w:t>10.8</w:t>
            </w:r>
            <w:r>
              <w:rPr>
                <w:u w:val="wave"/>
              </w:rPr>
              <w:t>m</w:t>
            </w:r>
            <w:r>
              <w:rPr>
                <w:rFonts w:hint="eastAsia"/>
                <w:u w:val="wave"/>
                <w:vertAlign w:val="superscript"/>
              </w:rPr>
              <w:t>3</w:t>
            </w:r>
            <w:r>
              <w:rPr>
                <w:u w:val="wave"/>
              </w:rPr>
              <w:t>/a</w:t>
            </w:r>
            <w:r>
              <w:rPr>
                <w:rFonts w:hint="eastAsia"/>
                <w:u w:val="wave"/>
              </w:rPr>
              <w:t>的场地清洗废水由</w:t>
            </w:r>
            <w:r>
              <w:rPr>
                <w:u w:val="wave"/>
              </w:rPr>
              <w:t>隔油池</w:t>
            </w:r>
            <w:r>
              <w:rPr>
                <w:rFonts w:hint="eastAsia"/>
                <w:u w:val="wave"/>
              </w:rPr>
              <w:t>进沉淀池后用于绿化，</w:t>
            </w:r>
            <w:r>
              <w:rPr>
                <w:rFonts w:hint="eastAsia"/>
                <w:u w:val="wave"/>
                <w:lang w:val="en-US" w:eastAsia="zh-CN"/>
              </w:rPr>
              <w:t>油泥</w:t>
            </w:r>
            <w:r>
              <w:rPr>
                <w:rFonts w:hint="eastAsia"/>
                <w:u w:val="wave"/>
              </w:rPr>
              <w:t>定期清掏交由益阳绿芯环境资源有限公司处置。</w:t>
            </w:r>
          </w:p>
          <w:p>
            <w:pPr>
              <w:ind w:firstLine="560"/>
            </w:pPr>
            <w:r>
              <w:t>（3）供电系统</w:t>
            </w:r>
          </w:p>
          <w:p>
            <w:pPr>
              <w:ind w:firstLine="560"/>
            </w:pPr>
            <w:r>
              <w:t>本项目用电为市政供电，年用电量约为18000KW·h/a，供电为电压380/220V的外接电源。项目在站房内设置配电室，负责加油机及工作区域动力及照明配电。</w:t>
            </w:r>
          </w:p>
          <w:p>
            <w:pPr>
              <w:numPr>
                <w:ilvl w:val="0"/>
                <w:numId w:val="4"/>
              </w:numPr>
              <w:ind w:firstLine="560"/>
              <w:rPr>
                <w:u w:val="single"/>
              </w:rPr>
            </w:pPr>
            <w:r>
              <w:rPr>
                <w:u w:val="single"/>
              </w:rPr>
              <w:t>消防</w:t>
            </w:r>
          </w:p>
          <w:p>
            <w:pPr>
              <w:ind w:firstLine="560"/>
            </w:pPr>
            <w:r>
              <w:t>本项目设计规模为三级加油</w:t>
            </w:r>
            <w:r>
              <w:rPr>
                <w:rFonts w:hint="eastAsia"/>
              </w:rPr>
              <w:t>点</w:t>
            </w:r>
            <w:r>
              <w:t>，根据《汽车加油加气站设计与施工规范》（GB50156-2012）第9.0.2条</w:t>
            </w:r>
            <w:r>
              <w:rPr>
                <w:rFonts w:hint="eastAsia"/>
              </w:rPr>
              <w:t>。</w:t>
            </w:r>
            <w:r>
              <w:t>加油</w:t>
            </w:r>
            <w:r>
              <w:rPr>
                <w:rFonts w:hint="eastAsia"/>
              </w:rPr>
              <w:t>机</w:t>
            </w:r>
            <w:r>
              <w:t>周围设置</w:t>
            </w:r>
            <w:r>
              <w:rPr>
                <w:rFonts w:hint="eastAsia"/>
              </w:rPr>
              <w:t>了</w:t>
            </w:r>
            <w:r>
              <w:t>净重4kg的手提式干粉灭火器16具，提车式干粉灭火器3具，灭火毯2个。灭火器均置于灭火器箱中，置于明显及便于取用处，并设专人管理。另设消防沙2立方。</w:t>
            </w:r>
          </w:p>
          <w:p>
            <w:pPr>
              <w:ind w:firstLine="560"/>
              <w:rPr>
                <w:u w:val="single"/>
              </w:rPr>
            </w:pPr>
            <w:r>
              <w:rPr>
                <w:u w:val="single"/>
              </w:rPr>
              <w:t>1）本项目站址与周围重要公共建筑物及其它各类建、构筑物防火间距符合《建筑设计防火规范》（GB50016－2006）、《汽车加油加气站设计与施工规范》（GB50156-2012）。</w:t>
            </w:r>
          </w:p>
          <w:p>
            <w:pPr>
              <w:ind w:firstLine="560"/>
              <w:rPr>
                <w:u w:val="single"/>
              </w:rPr>
            </w:pPr>
            <w:r>
              <w:rPr>
                <w:u w:val="single"/>
              </w:rPr>
              <w:t>2）站内各建筑物耐火等级、结构型式、地面做法均同样是按防火、防爆要求设计建造。</w:t>
            </w:r>
          </w:p>
          <w:p>
            <w:pPr>
              <w:ind w:firstLine="560"/>
              <w:rPr>
                <w:u w:val="single"/>
              </w:rPr>
            </w:pPr>
            <w:r>
              <w:rPr>
                <w:u w:val="single"/>
              </w:rPr>
              <w:t>3）危险场所电气设计是严格按照《爆炸和火灾场所电力装置设计规范》设计建造的，具有可靠的电气防爆和安全措施。</w:t>
            </w:r>
          </w:p>
          <w:p>
            <w:pPr>
              <w:ind w:firstLine="560"/>
              <w:rPr>
                <w:u w:val="single"/>
              </w:rPr>
            </w:pPr>
            <w:r>
              <w:rPr>
                <w:u w:val="single"/>
              </w:rPr>
              <w:t>4）站内室外工艺设备、罩棚、站房等建构筑物防雷、接地均是严格按照《建筑物防雷设计规范》和《化工企业静电接地装置设计规定》设计、施工。</w:t>
            </w:r>
          </w:p>
          <w:p>
            <w:pPr>
              <w:ind w:firstLine="560"/>
              <w:rPr>
                <w:u w:val="single"/>
              </w:rPr>
            </w:pPr>
            <w:r>
              <w:rPr>
                <w:u w:val="single"/>
              </w:rPr>
              <w:t>5）</w:t>
            </w:r>
            <w:r>
              <w:rPr>
                <w:rFonts w:hint="eastAsia"/>
                <w:u w:val="single"/>
              </w:rPr>
              <w:t>加油点</w:t>
            </w:r>
            <w:r>
              <w:rPr>
                <w:u w:val="single"/>
              </w:rPr>
              <w:t>配置</w:t>
            </w:r>
            <w:r>
              <w:rPr>
                <w:rFonts w:hint="eastAsia"/>
                <w:u w:val="single"/>
              </w:rPr>
              <w:t>16</w:t>
            </w:r>
            <w:r>
              <w:rPr>
                <w:u w:val="single"/>
              </w:rPr>
              <w:t>个干粉灭火器，其数量和要求均满足《建筑灭火器配置设计规范》，以便能及时扑灭初起火灾。</w:t>
            </w:r>
          </w:p>
          <w:p>
            <w:pPr>
              <w:ind w:firstLine="560"/>
              <w:rPr>
                <w:u w:val="single"/>
              </w:rPr>
            </w:pPr>
            <w:r>
              <w:rPr>
                <w:u w:val="single"/>
              </w:rPr>
              <w:t>6）本工程在站内设置泄漏自动报警设施，用以监测事故泄漏报警和设备的泄漏检测。警告操作、施工人员采取必要的安全措施。</w:t>
            </w:r>
          </w:p>
          <w:p>
            <w:pPr>
              <w:ind w:firstLine="560"/>
              <w:rPr>
                <w:u w:val="single"/>
              </w:rPr>
            </w:pPr>
            <w:r>
              <w:rPr>
                <w:u w:val="single"/>
              </w:rPr>
              <w:t>7）加油</w:t>
            </w:r>
            <w:r>
              <w:rPr>
                <w:rFonts w:hint="eastAsia"/>
                <w:u w:val="single"/>
              </w:rPr>
              <w:t>点</w:t>
            </w:r>
            <w:r>
              <w:rPr>
                <w:u w:val="single"/>
              </w:rPr>
              <w:t>设置2.2米高的不燃烧实体围墙。</w:t>
            </w:r>
          </w:p>
          <w:p>
            <w:pPr>
              <w:ind w:firstLine="560"/>
              <w:rPr>
                <w:u w:val="single"/>
              </w:rPr>
            </w:pPr>
            <w:r>
              <w:rPr>
                <w:rFonts w:hint="eastAsia"/>
                <w:u w:val="single"/>
              </w:rPr>
              <w:t>（5）</w:t>
            </w:r>
            <w:r>
              <w:rPr>
                <w:u w:val="single"/>
              </w:rPr>
              <w:t>自动控制、监控系统</w:t>
            </w:r>
          </w:p>
          <w:p>
            <w:pPr>
              <w:ind w:firstLine="560"/>
              <w:rPr>
                <w:u w:val="single"/>
              </w:rPr>
            </w:pPr>
            <w:r>
              <w:rPr>
                <w:u w:val="single"/>
              </w:rPr>
              <w:t>加油机设置紧急拉断阀；储罐液位计（预留接口）。该站设置视频监控，其视频监控分别布置在储油罐区、加油区及罩棚等部位。</w:t>
            </w:r>
          </w:p>
          <w:p>
            <w:pPr>
              <w:ind w:firstLine="0" w:firstLineChars="0"/>
              <w:rPr>
                <w:b/>
                <w:bCs/>
              </w:rPr>
            </w:pPr>
            <w:r>
              <w:rPr>
                <w:b/>
                <w:bCs/>
              </w:rPr>
              <w:t>8、劳动定员及工作制度</w:t>
            </w:r>
          </w:p>
          <w:p>
            <w:pPr>
              <w:ind w:firstLine="560"/>
              <w:rPr>
                <w:rFonts w:eastAsiaTheme="minorEastAsia"/>
                <w:bCs/>
                <w:color w:val="000000"/>
                <w:szCs w:val="28"/>
              </w:rPr>
            </w:pPr>
            <w:r>
              <w:t>本项目劳动定员2人，其中管理人员1人，加油员</w:t>
            </w:r>
            <w:r>
              <w:rPr>
                <w:rFonts w:hint="eastAsia"/>
              </w:rPr>
              <w:t>1</w:t>
            </w:r>
            <w:r>
              <w:t>人，年工作日365天，24小时营业，实行两班制。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988" w:hRule="atLeast"/>
        </w:trPr>
        <w:tc>
          <w:tcPr>
            <w:tcW w:w="5000" w:type="pct"/>
            <w:gridSpan w:val="10"/>
            <w:tcBorders>
              <w:tl2br w:val="nil"/>
              <w:tr2bl w:val="nil"/>
            </w:tcBorders>
            <w:noWrap/>
            <w:vAlign w:val="center"/>
          </w:tcPr>
          <w:p>
            <w:pPr>
              <w:ind w:firstLine="0" w:firstLineChars="0"/>
              <w:rPr>
                <w:b/>
                <w:bCs/>
              </w:rPr>
            </w:pPr>
            <w:r>
              <w:rPr>
                <w:b/>
                <w:bCs/>
              </w:rPr>
              <w:t>与本项目有关的原有污染情况及主要环境问题</w:t>
            </w:r>
          </w:p>
          <w:p>
            <w:pPr>
              <w:ind w:firstLine="560"/>
            </w:pPr>
            <w:r>
              <w:t>桃江县鲊埠加油点成立于</w:t>
            </w:r>
            <w:r>
              <w:rPr>
                <w:rFonts w:hint="eastAsia"/>
              </w:rPr>
              <w:t>2010</w:t>
            </w:r>
            <w:r>
              <w:t>年，位于益阳市桃江县鲊埠回族乡鲊埠社区一里街组，经营范围为：柴油。项目已建设完毕投入运营，无遗留环境污染问题。项目运营运行至今，未收到相关的环保投诉。项目所在区域无自然保护区、风景名胜区、重点文物保护单位、濒危珍稀野生动植物。</w:t>
            </w:r>
          </w:p>
          <w:p>
            <w:pPr>
              <w:numPr>
                <w:ilvl w:val="0"/>
                <w:numId w:val="5"/>
              </w:numPr>
              <w:ind w:firstLine="0" w:firstLineChars="0"/>
              <w:rPr>
                <w:rFonts w:eastAsiaTheme="minorEastAsia"/>
                <w:b/>
                <w:color w:val="000000"/>
                <w:szCs w:val="28"/>
              </w:rPr>
            </w:pPr>
            <w:r>
              <w:rPr>
                <w:b/>
                <w:bCs/>
              </w:rPr>
              <w:t>项目污染源监测：</w:t>
            </w:r>
          </w:p>
          <w:p>
            <w:pPr>
              <w:ind w:firstLine="560"/>
              <w:rPr>
                <w:rFonts w:eastAsiaTheme="minorEastAsia"/>
                <w:color w:val="000000"/>
                <w:szCs w:val="28"/>
              </w:rPr>
            </w:pPr>
            <w:r>
              <w:t>目前站区无组织排放废气为储罐</w:t>
            </w:r>
            <w:r>
              <w:rPr>
                <w:rFonts w:hint="eastAsia"/>
                <w:lang w:val="en-US" w:eastAsia="zh-CN"/>
              </w:rPr>
              <w:t>大、</w:t>
            </w:r>
            <w:r>
              <w:t>小呼吸废气，主要污染物为</w:t>
            </w:r>
            <w:r>
              <w:rPr>
                <w:rFonts w:hint="eastAsia"/>
              </w:rPr>
              <w:t>非甲烷总烃</w:t>
            </w:r>
            <w:r>
              <w:t>。为了解</w:t>
            </w:r>
            <w:r>
              <w:rPr>
                <w:rFonts w:hint="eastAsia"/>
              </w:rPr>
              <w:t>加油点</w:t>
            </w:r>
            <w:r>
              <w:t>现状排污情况，本次环评委托</w:t>
            </w:r>
            <w:r>
              <w:rPr>
                <w:rFonts w:hint="eastAsia"/>
              </w:rPr>
              <w:t>湖南谱实检测技术有限公司（2020.9.16~2020.9.17）</w:t>
            </w:r>
            <w:r>
              <w:t>对站区的无组织废气进行了监测。无组织废气污染源监测结果如下：</w:t>
            </w:r>
          </w:p>
          <w:p>
            <w:pPr>
              <w:ind w:firstLine="560"/>
            </w:pPr>
          </w:p>
          <w:p>
            <w:pPr>
              <w:ind w:firstLine="560"/>
            </w:pPr>
          </w:p>
          <w:p>
            <w:pPr>
              <w:ind w:firstLine="560"/>
            </w:pPr>
          </w:p>
          <w:p>
            <w:pPr>
              <w:ind w:firstLine="560"/>
            </w:pPr>
          </w:p>
          <w:p>
            <w:pPr>
              <w:pStyle w:val="25"/>
              <w:spacing w:after="0" w:line="240" w:lineRule="auto"/>
              <w:ind w:left="0" w:leftChars="0" w:firstLine="0" w:firstLineChars="0"/>
              <w:jc w:val="right"/>
              <w:rPr>
                <w:b/>
                <w:color w:val="000000"/>
                <w:sz w:val="21"/>
                <w:shd w:val="clear" w:color="auto" w:fill="FFFFFF"/>
              </w:rPr>
            </w:pPr>
          </w:p>
          <w:p>
            <w:pPr>
              <w:pStyle w:val="25"/>
              <w:spacing w:after="0" w:line="240" w:lineRule="auto"/>
              <w:ind w:left="0" w:leftChars="0" w:firstLine="0" w:firstLineChars="0"/>
              <w:jc w:val="right"/>
            </w:pPr>
            <w:r>
              <w:rPr>
                <w:b/>
                <w:color w:val="000000"/>
                <w:sz w:val="21"/>
                <w:shd w:val="clear" w:color="auto" w:fill="FFFFFF"/>
              </w:rPr>
              <w:t>表1-7 非甲烷总烃检测结果           计量单位：mg/m</w:t>
            </w:r>
            <w:r>
              <w:rPr>
                <w:b/>
                <w:color w:val="000000"/>
                <w:sz w:val="21"/>
                <w:shd w:val="clear" w:color="auto" w:fill="FFFFFF"/>
                <w:vertAlign w:val="superscript"/>
              </w:rPr>
              <w:t>3</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248"/>
              <w:gridCol w:w="986"/>
              <w:gridCol w:w="986"/>
              <w:gridCol w:w="986"/>
              <w:gridCol w:w="374"/>
              <w:gridCol w:w="612"/>
              <w:gridCol w:w="986"/>
              <w:gridCol w:w="10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采样点位</w:t>
                  </w:r>
                </w:p>
              </w:tc>
              <w:tc>
                <w:tcPr>
                  <w:tcW w:w="666"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检测项目</w:t>
                  </w:r>
                </w:p>
              </w:tc>
              <w:tc>
                <w:tcPr>
                  <w:tcW w:w="3170" w:type="pct"/>
                  <w:gridSpan w:val="7"/>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162" w:type="pct"/>
                  <w:vMerge w:val="continue"/>
                  <w:tcBorders>
                    <w:tl2br w:val="nil"/>
                    <w:tr2bl w:val="nil"/>
                  </w:tcBorders>
                  <w:vAlign w:val="center"/>
                </w:tcPr>
                <w:p>
                  <w:pPr>
                    <w:pStyle w:val="25"/>
                    <w:spacing w:after="0" w:line="240" w:lineRule="auto"/>
                    <w:ind w:left="0" w:leftChars="0" w:firstLine="0" w:firstLineChars="0"/>
                    <w:jc w:val="center"/>
                    <w:rPr>
                      <w:b/>
                      <w:bCs/>
                      <w:sz w:val="21"/>
                      <w:szCs w:val="21"/>
                    </w:rPr>
                  </w:pPr>
                </w:p>
              </w:tc>
              <w:tc>
                <w:tcPr>
                  <w:tcW w:w="666" w:type="pct"/>
                  <w:vMerge w:val="continue"/>
                  <w:tcBorders>
                    <w:tl2br w:val="nil"/>
                    <w:tr2bl w:val="nil"/>
                  </w:tcBorders>
                  <w:vAlign w:val="center"/>
                </w:tcPr>
                <w:p>
                  <w:pPr>
                    <w:pStyle w:val="25"/>
                    <w:spacing w:after="0" w:line="240" w:lineRule="auto"/>
                    <w:ind w:left="0" w:leftChars="0" w:firstLine="0" w:firstLineChars="0"/>
                    <w:jc w:val="center"/>
                    <w:rPr>
                      <w:b/>
                      <w:bCs/>
                      <w:sz w:val="21"/>
                      <w:szCs w:val="21"/>
                    </w:rPr>
                  </w:pPr>
                </w:p>
              </w:tc>
              <w:tc>
                <w:tcPr>
                  <w:tcW w:w="1781" w:type="pct"/>
                  <w:gridSpan w:val="4"/>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9月16日</w:t>
                  </w:r>
                </w:p>
              </w:tc>
              <w:tc>
                <w:tcPr>
                  <w:tcW w:w="1388" w:type="pct"/>
                  <w:gridSpan w:val="3"/>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9月17日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vMerge w:val="continue"/>
                  <w:tcBorders>
                    <w:tl2br w:val="nil"/>
                    <w:tr2bl w:val="nil"/>
                  </w:tcBorders>
                  <w:vAlign w:val="center"/>
                </w:tcPr>
                <w:p>
                  <w:pPr>
                    <w:pStyle w:val="25"/>
                    <w:spacing w:after="0" w:line="240" w:lineRule="auto"/>
                    <w:ind w:left="0" w:leftChars="0" w:firstLine="0" w:firstLineChars="0"/>
                    <w:jc w:val="center"/>
                    <w:rPr>
                      <w:b/>
                      <w:bCs/>
                      <w:sz w:val="21"/>
                      <w:szCs w:val="21"/>
                    </w:rPr>
                  </w:pPr>
                </w:p>
              </w:tc>
              <w:tc>
                <w:tcPr>
                  <w:tcW w:w="666" w:type="pct"/>
                  <w:vMerge w:val="continue"/>
                  <w:tcBorders>
                    <w:tl2br w:val="nil"/>
                    <w:tr2bl w:val="nil"/>
                  </w:tcBorders>
                  <w:vAlign w:val="center"/>
                </w:tcPr>
                <w:p>
                  <w:pPr>
                    <w:pStyle w:val="25"/>
                    <w:spacing w:after="0" w:line="240" w:lineRule="auto"/>
                    <w:ind w:left="0" w:leftChars="0" w:firstLine="0" w:firstLineChars="0"/>
                    <w:jc w:val="center"/>
                    <w:rPr>
                      <w:b/>
                      <w:bCs/>
                      <w:sz w:val="21"/>
                      <w:szCs w:val="21"/>
                    </w:rPr>
                  </w:pPr>
                </w:p>
              </w:tc>
              <w:tc>
                <w:tcPr>
                  <w:tcW w:w="527"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第一次</w:t>
                  </w:r>
                </w:p>
              </w:tc>
              <w:tc>
                <w:tcPr>
                  <w:tcW w:w="527"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第二次</w:t>
                  </w:r>
                </w:p>
              </w:tc>
              <w:tc>
                <w:tcPr>
                  <w:tcW w:w="527"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第三次</w:t>
                  </w:r>
                </w:p>
              </w:tc>
              <w:tc>
                <w:tcPr>
                  <w:tcW w:w="527" w:type="pct"/>
                  <w:gridSpan w:val="2"/>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第一次</w:t>
                  </w:r>
                </w:p>
              </w:tc>
              <w:tc>
                <w:tcPr>
                  <w:tcW w:w="527"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第二次</w:t>
                  </w:r>
                </w:p>
              </w:tc>
              <w:tc>
                <w:tcPr>
                  <w:tcW w:w="530"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第三次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Q1 加油</w:t>
                  </w:r>
                  <w:r>
                    <w:rPr>
                      <w:rFonts w:hint="eastAsia"/>
                      <w:b/>
                      <w:bCs/>
                      <w:sz w:val="21"/>
                      <w:szCs w:val="21"/>
                    </w:rPr>
                    <w:t>点</w:t>
                  </w:r>
                  <w:r>
                    <w:rPr>
                      <w:b/>
                      <w:bCs/>
                      <w:sz w:val="21"/>
                      <w:szCs w:val="21"/>
                    </w:rPr>
                    <w:t>北侧外 3m处（上风向）</w:t>
                  </w:r>
                </w:p>
              </w:tc>
              <w:tc>
                <w:tcPr>
                  <w:tcW w:w="666"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非甲烷</w:t>
                  </w:r>
                </w:p>
                <w:p>
                  <w:pPr>
                    <w:pStyle w:val="25"/>
                    <w:spacing w:after="0" w:line="240" w:lineRule="auto"/>
                    <w:ind w:left="0" w:leftChars="0" w:firstLine="0" w:firstLineChars="0"/>
                    <w:jc w:val="center"/>
                    <w:rPr>
                      <w:b/>
                      <w:bCs/>
                      <w:sz w:val="21"/>
                      <w:szCs w:val="21"/>
                    </w:rPr>
                  </w:pPr>
                  <w:r>
                    <w:rPr>
                      <w:b/>
                      <w:bCs/>
                      <w:sz w:val="21"/>
                      <w:szCs w:val="21"/>
                    </w:rPr>
                    <w:t>总烃</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0.42</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0.35</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0.36</w:t>
                  </w:r>
                </w:p>
              </w:tc>
              <w:tc>
                <w:tcPr>
                  <w:tcW w:w="527" w:type="pct"/>
                  <w:gridSpan w:val="2"/>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0.40</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0.38</w:t>
                  </w:r>
                </w:p>
              </w:tc>
              <w:tc>
                <w:tcPr>
                  <w:tcW w:w="530"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2"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Q2 加油</w:t>
                  </w:r>
                  <w:r>
                    <w:rPr>
                      <w:rFonts w:hint="eastAsia"/>
                      <w:b/>
                      <w:bCs/>
                      <w:sz w:val="21"/>
                      <w:szCs w:val="21"/>
                    </w:rPr>
                    <w:t>点</w:t>
                  </w:r>
                  <w:r>
                    <w:rPr>
                      <w:b/>
                      <w:bCs/>
                      <w:sz w:val="21"/>
                      <w:szCs w:val="21"/>
                    </w:rPr>
                    <w:t>南侧外 3m处（下风向）</w:t>
                  </w:r>
                </w:p>
              </w:tc>
              <w:tc>
                <w:tcPr>
                  <w:tcW w:w="666"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0.65</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0.79</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0.78</w:t>
                  </w:r>
                </w:p>
              </w:tc>
              <w:tc>
                <w:tcPr>
                  <w:tcW w:w="527" w:type="pct"/>
                  <w:gridSpan w:val="2"/>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0.70</w:t>
                  </w:r>
                </w:p>
              </w:tc>
              <w:tc>
                <w:tcPr>
                  <w:tcW w:w="52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0.71</w:t>
                  </w:r>
                </w:p>
              </w:tc>
              <w:tc>
                <w:tcPr>
                  <w:tcW w:w="530"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9" w:type="pct"/>
                  <w:gridSpan w:val="2"/>
                  <w:tcBorders>
                    <w:tl2br w:val="nil"/>
                    <w:tr2bl w:val="nil"/>
                  </w:tcBorders>
                  <w:vAlign w:val="center"/>
                </w:tcPr>
                <w:p>
                  <w:pPr>
                    <w:pStyle w:val="25"/>
                    <w:spacing w:after="0" w:line="240" w:lineRule="auto"/>
                    <w:ind w:left="0" w:leftChars="0" w:firstLine="0" w:firstLineChars="0"/>
                    <w:jc w:val="center"/>
                    <w:rPr>
                      <w:sz w:val="21"/>
                      <w:szCs w:val="21"/>
                    </w:rPr>
                  </w:pPr>
                  <w:r>
                    <w:rPr>
                      <w:b/>
                      <w:bCs/>
                      <w:sz w:val="21"/>
                      <w:szCs w:val="21"/>
                    </w:rPr>
                    <w:t>标准限值</w:t>
                  </w:r>
                </w:p>
              </w:tc>
              <w:tc>
                <w:tcPr>
                  <w:tcW w:w="3170" w:type="pct"/>
                  <w:gridSpan w:val="7"/>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4.0mg/m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pPr>
                    <w:pStyle w:val="25"/>
                    <w:spacing w:after="0" w:line="240" w:lineRule="auto"/>
                    <w:ind w:left="0" w:leftChars="0" w:firstLine="0" w:firstLineChars="0"/>
                    <w:jc w:val="left"/>
                    <w:rPr>
                      <w:sz w:val="21"/>
                      <w:szCs w:val="21"/>
                    </w:rPr>
                  </w:pPr>
                  <w:r>
                    <w:rPr>
                      <w:sz w:val="21"/>
                      <w:szCs w:val="21"/>
                    </w:rPr>
                    <w:t>《大气污染物综合排放标准》（GB16297-1996）二级标准</w:t>
                  </w:r>
                </w:p>
              </w:tc>
            </w:tr>
          </w:tbl>
          <w:p>
            <w:pPr>
              <w:ind w:firstLine="560"/>
            </w:pPr>
            <w:r>
              <w:t>从上表可知：监测结果满足《大气污染物综合排放标准》（GB16297-2012）表2无组织排放浓度限值。</w:t>
            </w:r>
          </w:p>
          <w:p>
            <w:pPr>
              <w:ind w:firstLine="0" w:firstLineChars="0"/>
              <w:rPr>
                <w:rFonts w:eastAsiaTheme="minorEastAsia"/>
                <w:b/>
                <w:color w:val="000000"/>
                <w:szCs w:val="28"/>
              </w:rPr>
            </w:pPr>
            <w:r>
              <w:rPr>
                <w:b/>
                <w:bCs/>
              </w:rPr>
              <w:t>2、项目存在环境问题：</w:t>
            </w:r>
          </w:p>
          <w:p>
            <w:pPr>
              <w:ind w:firstLine="560"/>
            </w:pPr>
            <w:r>
              <w:t>根据现场踏勘可知项目目前存在的主要环境问题如下：</w:t>
            </w:r>
          </w:p>
          <w:p>
            <w:pPr>
              <w:ind w:firstLine="560"/>
            </w:pPr>
            <w:r>
              <w:rPr>
                <w:rFonts w:hint="eastAsia"/>
              </w:rPr>
              <w:t>（1）未设危废间、未设置危废桶；</w:t>
            </w:r>
          </w:p>
          <w:p>
            <w:pPr>
              <w:ind w:firstLine="560"/>
            </w:pPr>
            <w:r>
              <w:rPr>
                <w:rFonts w:hint="eastAsia"/>
                <w:u w:val="single"/>
              </w:rPr>
              <w:t>（2）当发生重大火灾时产生消防废水，根据《汽车加油加气站设计与施工规范 GB50156-2012》三级加油站消火栓消防用水量应小于10L/s，LPG储罐埋地敷设时，连续给水时间不应少于1h。需设应急事故水池36m</w:t>
            </w:r>
            <w:r>
              <w:rPr>
                <w:rFonts w:hint="eastAsia"/>
                <w:u w:val="single"/>
                <w:vertAlign w:val="superscript"/>
              </w:rPr>
              <w:t>3</w:t>
            </w:r>
            <w:r>
              <w:rPr>
                <w:rFonts w:hint="eastAsia"/>
                <w:u w:val="single"/>
              </w:rPr>
              <w:t>，如果发生火灾，消防废水应导入应急池，经处理达标后排放，防止流入无名小溪进入资江。</w:t>
            </w:r>
          </w:p>
          <w:p>
            <w:pPr>
              <w:ind w:firstLine="560"/>
            </w:pPr>
            <w:r>
              <w:rPr>
                <w:rFonts w:hint="eastAsia"/>
                <w:u w:val="single"/>
              </w:rPr>
              <w:t>（3）隔油池无法正常处理废水，需修缮。</w:t>
            </w:r>
          </w:p>
          <w:p>
            <w:pPr>
              <w:ind w:firstLine="560"/>
            </w:pPr>
            <w:r>
              <w:t>现状照片详见如表</w:t>
            </w:r>
            <w:r>
              <w:rPr>
                <w:rFonts w:hint="eastAsia"/>
                <w:lang w:val="en-US" w:eastAsia="zh-CN"/>
              </w:rPr>
              <w:t>1-8</w:t>
            </w:r>
            <w:r>
              <w:t>：</w:t>
            </w:r>
          </w:p>
          <w:p>
            <w:pPr>
              <w:ind w:firstLine="0" w:firstLineChars="0"/>
              <w:rPr>
                <w:rFonts w:eastAsiaTheme="minorEastAsia"/>
                <w:b/>
                <w:color w:val="000000"/>
                <w:szCs w:val="24"/>
              </w:rPr>
            </w:pPr>
            <w:r>
              <w:rPr>
                <w:b/>
                <w:bCs/>
              </w:rPr>
              <w:t>3、整改措施要求：</w:t>
            </w:r>
          </w:p>
          <w:p>
            <w:pPr>
              <w:ind w:firstLine="560"/>
              <w:rPr>
                <w:b/>
                <w:color w:val="000000"/>
                <w:sz w:val="21"/>
                <w:shd w:val="clear" w:color="auto" w:fill="FFFFFF"/>
              </w:rPr>
            </w:pPr>
            <w:r>
              <w:t>本项目整改措施要求详见下表。</w:t>
            </w:r>
          </w:p>
          <w:p>
            <w:pPr>
              <w:adjustRightInd/>
              <w:spacing w:line="240" w:lineRule="auto"/>
              <w:ind w:firstLine="0" w:firstLineChars="0"/>
              <w:jc w:val="center"/>
              <w:rPr>
                <w:b/>
                <w:color w:val="000000"/>
                <w:sz w:val="21"/>
                <w:shd w:val="clear" w:color="auto" w:fill="FFFFFF"/>
              </w:rPr>
            </w:pPr>
            <w:r>
              <w:rPr>
                <w:b/>
                <w:color w:val="000000"/>
                <w:sz w:val="21"/>
                <w:shd w:val="clear" w:color="auto" w:fill="FFFFFF"/>
              </w:rPr>
              <w:t>表1-9 项目整改措施要求</w:t>
            </w:r>
          </w:p>
          <w:tbl>
            <w:tblPr>
              <w:tblStyle w:val="26"/>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839"/>
              <w:gridCol w:w="3592"/>
              <w:gridCol w:w="12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32" w:type="pct"/>
                  <w:gridSpan w:val="2"/>
                  <w:tcBorders>
                    <w:tl2br w:val="nil"/>
                    <w:tr2bl w:val="nil"/>
                  </w:tcBorders>
                  <w:shd w:val="clear" w:color="auto" w:fill="auto"/>
                  <w:vAlign w:val="center"/>
                </w:tcPr>
                <w:p>
                  <w:pPr>
                    <w:keepNext/>
                    <w:topLinePunct/>
                    <w:snapToGrid w:val="0"/>
                    <w:spacing w:line="240" w:lineRule="auto"/>
                    <w:ind w:firstLine="0" w:firstLineChars="0"/>
                    <w:jc w:val="center"/>
                    <w:rPr>
                      <w:b/>
                      <w:color w:val="000000"/>
                    </w:rPr>
                  </w:pPr>
                  <w:r>
                    <w:rPr>
                      <w:b/>
                      <w:color w:val="000000"/>
                      <w:sz w:val="21"/>
                    </w:rPr>
                    <w:t>污染物</w:t>
                  </w:r>
                </w:p>
              </w:tc>
              <w:tc>
                <w:tcPr>
                  <w:tcW w:w="1920" w:type="pct"/>
                  <w:tcBorders>
                    <w:tl2br w:val="nil"/>
                    <w:tr2bl w:val="nil"/>
                  </w:tcBorders>
                  <w:shd w:val="clear" w:color="auto" w:fill="auto"/>
                  <w:vAlign w:val="center"/>
                </w:tcPr>
                <w:p>
                  <w:pPr>
                    <w:keepNext/>
                    <w:topLinePunct/>
                    <w:snapToGrid w:val="0"/>
                    <w:spacing w:line="240" w:lineRule="auto"/>
                    <w:ind w:firstLine="0" w:firstLineChars="0"/>
                    <w:jc w:val="center"/>
                    <w:rPr>
                      <w:b/>
                      <w:color w:val="000000"/>
                    </w:rPr>
                  </w:pPr>
                  <w:r>
                    <w:rPr>
                      <w:b/>
                      <w:color w:val="000000"/>
                      <w:sz w:val="21"/>
                    </w:rPr>
                    <w:t>整改措施</w:t>
                  </w:r>
                </w:p>
              </w:tc>
              <w:tc>
                <w:tcPr>
                  <w:tcW w:w="647" w:type="pct"/>
                  <w:tcBorders>
                    <w:tl2br w:val="nil"/>
                    <w:tr2bl w:val="nil"/>
                  </w:tcBorders>
                  <w:shd w:val="clear" w:color="auto" w:fill="auto"/>
                  <w:vAlign w:val="center"/>
                </w:tcPr>
                <w:p>
                  <w:pPr>
                    <w:keepNext/>
                    <w:topLinePunct/>
                    <w:snapToGrid w:val="0"/>
                    <w:spacing w:line="240" w:lineRule="auto"/>
                    <w:ind w:firstLine="0" w:firstLineChars="0"/>
                    <w:jc w:val="center"/>
                    <w:rPr>
                      <w:b/>
                      <w:color w:val="000000"/>
                      <w:sz w:val="21"/>
                    </w:rPr>
                  </w:pPr>
                  <w:r>
                    <w:rPr>
                      <w:b/>
                      <w:color w:val="000000"/>
                      <w:sz w:val="21"/>
                    </w:rPr>
                    <w:t>完成时间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1" w:type="pct"/>
                  <w:vMerge w:val="restart"/>
                  <w:tcBorders>
                    <w:tl2br w:val="nil"/>
                    <w:tr2bl w:val="nil"/>
                  </w:tcBorders>
                  <w:shd w:val="clear" w:color="auto" w:fill="auto"/>
                  <w:vAlign w:val="center"/>
                </w:tcPr>
                <w:p>
                  <w:pPr>
                    <w:keepNext/>
                    <w:topLinePunct/>
                    <w:snapToGrid w:val="0"/>
                    <w:spacing w:line="240" w:lineRule="auto"/>
                    <w:ind w:firstLine="0" w:firstLineChars="0"/>
                    <w:jc w:val="center"/>
                    <w:rPr>
                      <w:b/>
                      <w:bCs/>
                      <w:color w:val="000000"/>
                      <w:sz w:val="21"/>
                      <w:u w:val="single"/>
                    </w:rPr>
                  </w:pPr>
                  <w:r>
                    <w:rPr>
                      <w:rFonts w:hint="eastAsia"/>
                      <w:b/>
                      <w:bCs/>
                      <w:color w:val="000000"/>
                      <w:sz w:val="21"/>
                      <w:u w:val="single"/>
                    </w:rPr>
                    <w:t>废水</w:t>
                  </w:r>
                </w:p>
              </w:tc>
              <w:tc>
                <w:tcPr>
                  <w:tcW w:w="2051"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u w:val="single"/>
                    </w:rPr>
                  </w:pPr>
                  <w:r>
                    <w:rPr>
                      <w:rFonts w:hint="eastAsia"/>
                      <w:color w:val="000000"/>
                      <w:sz w:val="21"/>
                      <w:u w:val="single"/>
                    </w:rPr>
                    <w:t>初期雨水、地面冲洗水、生活污水</w:t>
                  </w:r>
                </w:p>
              </w:tc>
              <w:tc>
                <w:tcPr>
                  <w:tcW w:w="1920"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u w:val="single"/>
                    </w:rPr>
                  </w:pPr>
                  <w:r>
                    <w:rPr>
                      <w:rFonts w:hint="eastAsia"/>
                      <w:color w:val="000000"/>
                      <w:sz w:val="21"/>
                      <w:u w:val="single"/>
                    </w:rPr>
                    <w:t>隔油池修缮，进行防渗处理</w:t>
                  </w:r>
                </w:p>
              </w:tc>
              <w:tc>
                <w:tcPr>
                  <w:tcW w:w="647"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u w:val="single"/>
                    </w:rPr>
                  </w:pPr>
                  <w:r>
                    <w:rPr>
                      <w:rFonts w:hint="eastAsia"/>
                      <w:color w:val="000000"/>
                      <w:sz w:val="21"/>
                      <w:u w:val="single"/>
                    </w:rPr>
                    <w:t>2021.1.31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81" w:type="pct"/>
                  <w:vMerge w:val="continue"/>
                  <w:tcBorders>
                    <w:tl2br w:val="nil"/>
                    <w:tr2bl w:val="nil"/>
                  </w:tcBorders>
                  <w:shd w:val="clear" w:color="auto" w:fill="auto"/>
                  <w:vAlign w:val="center"/>
                </w:tcPr>
                <w:p>
                  <w:pPr>
                    <w:keepNext/>
                    <w:topLinePunct/>
                    <w:snapToGrid w:val="0"/>
                    <w:spacing w:line="240" w:lineRule="auto"/>
                    <w:ind w:firstLine="0" w:firstLineChars="0"/>
                    <w:jc w:val="center"/>
                    <w:rPr>
                      <w:b/>
                      <w:bCs/>
                      <w:color w:val="000000"/>
                      <w:sz w:val="21"/>
                    </w:rPr>
                  </w:pPr>
                </w:p>
              </w:tc>
              <w:tc>
                <w:tcPr>
                  <w:tcW w:w="2051"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rFonts w:hint="eastAsia"/>
                      <w:color w:val="000000"/>
                      <w:sz w:val="21"/>
                      <w:u w:val="single"/>
                    </w:rPr>
                    <w:t>消防水的收集</w:t>
                  </w:r>
                </w:p>
              </w:tc>
              <w:tc>
                <w:tcPr>
                  <w:tcW w:w="1920"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rFonts w:hint="eastAsia"/>
                      <w:color w:val="000000"/>
                      <w:sz w:val="21"/>
                      <w:u w:val="single"/>
                    </w:rPr>
                    <w:t>设置36m</w:t>
                  </w:r>
                  <w:r>
                    <w:rPr>
                      <w:rFonts w:hint="eastAsia"/>
                      <w:color w:val="000000"/>
                      <w:sz w:val="21"/>
                      <w:u w:val="single"/>
                      <w:vertAlign w:val="superscript"/>
                    </w:rPr>
                    <w:t>3</w:t>
                  </w:r>
                  <w:r>
                    <w:rPr>
                      <w:rFonts w:hint="eastAsia"/>
                      <w:color w:val="000000"/>
                      <w:sz w:val="21"/>
                      <w:u w:val="single"/>
                    </w:rPr>
                    <w:t>应急事故池</w:t>
                  </w:r>
                </w:p>
              </w:tc>
              <w:tc>
                <w:tcPr>
                  <w:tcW w:w="647"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rFonts w:hint="eastAsia"/>
                      <w:color w:val="000000"/>
                      <w:sz w:val="21"/>
                      <w:u w:val="single"/>
                    </w:rPr>
                    <w:t>2021.1.31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81" w:type="pct"/>
                  <w:tcBorders>
                    <w:tl2br w:val="nil"/>
                    <w:tr2bl w:val="nil"/>
                  </w:tcBorders>
                  <w:shd w:val="clear" w:color="auto" w:fill="auto"/>
                  <w:vAlign w:val="center"/>
                </w:tcPr>
                <w:p>
                  <w:pPr>
                    <w:keepNext/>
                    <w:topLinePunct/>
                    <w:snapToGrid w:val="0"/>
                    <w:spacing w:line="240" w:lineRule="auto"/>
                    <w:ind w:firstLine="0" w:firstLineChars="0"/>
                    <w:jc w:val="center"/>
                    <w:rPr>
                      <w:b/>
                      <w:bCs/>
                      <w:color w:val="000000"/>
                      <w:sz w:val="21"/>
                    </w:rPr>
                  </w:pPr>
                  <w:r>
                    <w:rPr>
                      <w:b/>
                      <w:bCs/>
                      <w:color w:val="000000"/>
                      <w:sz w:val="21"/>
                    </w:rPr>
                    <w:t>固废</w:t>
                  </w:r>
                </w:p>
              </w:tc>
              <w:tc>
                <w:tcPr>
                  <w:tcW w:w="2051"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color w:val="000000"/>
                      <w:sz w:val="21"/>
                    </w:rPr>
                    <w:t>含油抹布和手套、地面冲洗沉渣</w:t>
                  </w:r>
                  <w:r>
                    <w:rPr>
                      <w:rFonts w:hint="eastAsia"/>
                      <w:color w:val="000000"/>
                      <w:sz w:val="21"/>
                    </w:rPr>
                    <w:t>、泥渣</w:t>
                  </w:r>
                </w:p>
              </w:tc>
              <w:tc>
                <w:tcPr>
                  <w:tcW w:w="1920"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color w:val="000000"/>
                      <w:sz w:val="21"/>
                    </w:rPr>
                    <w:t>增设</w:t>
                  </w:r>
                  <w:r>
                    <w:rPr>
                      <w:rFonts w:hint="eastAsia"/>
                      <w:color w:val="000000"/>
                      <w:sz w:val="21"/>
                    </w:rPr>
                    <w:t>1个危废间、</w:t>
                  </w:r>
                  <w:r>
                    <w:rPr>
                      <w:color w:val="000000"/>
                      <w:sz w:val="21"/>
                    </w:rPr>
                    <w:t>2个危废暂存桶，并设置好标识</w:t>
                  </w:r>
                </w:p>
              </w:tc>
              <w:tc>
                <w:tcPr>
                  <w:tcW w:w="647" w:type="pct"/>
                  <w:tcBorders>
                    <w:tl2br w:val="nil"/>
                    <w:tr2bl w:val="nil"/>
                  </w:tcBorders>
                  <w:shd w:val="clear" w:color="auto" w:fill="auto"/>
                  <w:vAlign w:val="center"/>
                </w:tcPr>
                <w:p>
                  <w:pPr>
                    <w:keepNext/>
                    <w:topLinePunct/>
                    <w:snapToGrid w:val="0"/>
                    <w:spacing w:line="240" w:lineRule="auto"/>
                    <w:ind w:firstLine="0" w:firstLineChars="0"/>
                    <w:jc w:val="center"/>
                    <w:rPr>
                      <w:color w:val="000000"/>
                      <w:sz w:val="21"/>
                    </w:rPr>
                  </w:pPr>
                  <w:r>
                    <w:rPr>
                      <w:color w:val="000000"/>
                      <w:sz w:val="21"/>
                    </w:rPr>
                    <w:t>202</w:t>
                  </w:r>
                  <w:r>
                    <w:rPr>
                      <w:rFonts w:hint="eastAsia"/>
                      <w:color w:val="000000"/>
                      <w:sz w:val="21"/>
                    </w:rPr>
                    <w:t>1</w:t>
                  </w:r>
                  <w:r>
                    <w:rPr>
                      <w:color w:val="000000"/>
                      <w:sz w:val="21"/>
                    </w:rPr>
                    <w:t>.1.</w:t>
                  </w:r>
                  <w:r>
                    <w:rPr>
                      <w:rFonts w:hint="eastAsia"/>
                      <w:color w:val="000000"/>
                      <w:sz w:val="21"/>
                    </w:rPr>
                    <w:t>3</w:t>
                  </w:r>
                  <w:r>
                    <w:rPr>
                      <w:color w:val="000000"/>
                      <w:sz w:val="21"/>
                    </w:rPr>
                    <w:t>1</w:t>
                  </w:r>
                </w:p>
              </w:tc>
            </w:tr>
          </w:tbl>
          <w:p>
            <w:pPr>
              <w:ind w:firstLine="560"/>
            </w:pPr>
          </w:p>
          <w:p>
            <w:pPr>
              <w:pStyle w:val="22"/>
              <w:autoSpaceDE w:val="0"/>
              <w:autoSpaceDN w:val="0"/>
              <w:spacing w:line="240" w:lineRule="auto"/>
              <w:ind w:firstLine="422"/>
              <w:jc w:val="center"/>
              <w:rPr>
                <w:b/>
                <w:color w:val="000000"/>
                <w:sz w:val="21"/>
                <w:shd w:val="clear" w:color="auto" w:fill="FFFFFF"/>
              </w:rPr>
            </w:pPr>
            <w:r>
              <w:rPr>
                <w:b/>
                <w:color w:val="000000"/>
                <w:sz w:val="21"/>
                <w:shd w:val="clear" w:color="auto" w:fill="FFFFFF"/>
              </w:rPr>
              <w:t>表1-8 项目现状照片</w:t>
            </w:r>
          </w:p>
          <w:tbl>
            <w:tblPr>
              <w:tblStyle w:val="27"/>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1"/>
              <w:gridCol w:w="4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716530" cy="2139950"/>
                        <wp:effectExtent l="0" t="0" r="11430" b="8890"/>
                        <wp:docPr id="10" name="图片 10" descr="cf3302e6e57ae970386b05fa1cff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f3302e6e57ae970386b05fa1cffc30"/>
                                <pic:cNvPicPr>
                                  <a:picLocks noChangeAspect="1"/>
                                </pic:cNvPicPr>
                              </pic:nvPicPr>
                              <pic:blipFill>
                                <a:blip r:embed="rId14"/>
                                <a:stretch>
                                  <a:fillRect/>
                                </a:stretch>
                              </pic:blipFill>
                              <pic:spPr>
                                <a:xfrm>
                                  <a:off x="0" y="0"/>
                                  <a:ext cx="2716530" cy="2139950"/>
                                </a:xfrm>
                                <a:prstGeom prst="rect">
                                  <a:avLst/>
                                </a:prstGeom>
                              </pic:spPr>
                            </pic:pic>
                          </a:graphicData>
                        </a:graphic>
                      </wp:inline>
                    </w:drawing>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539365" cy="2112010"/>
                        <wp:effectExtent l="0" t="0" r="5715" b="6350"/>
                        <wp:docPr id="11" name="图片 11" descr="6b3994c88b361e2ef4b0e51da752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3994c88b361e2ef4b0e51da752c27"/>
                                <pic:cNvPicPr>
                                  <a:picLocks noChangeAspect="1"/>
                                </pic:cNvPicPr>
                              </pic:nvPicPr>
                              <pic:blipFill>
                                <a:blip r:embed="rId15"/>
                                <a:stretch>
                                  <a:fillRect/>
                                </a:stretch>
                              </pic:blipFill>
                              <pic:spPr>
                                <a:xfrm>
                                  <a:off x="0" y="0"/>
                                  <a:ext cx="2539365" cy="211201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加油</w:t>
                  </w:r>
                  <w:r>
                    <w:rPr>
                      <w:rFonts w:hint="eastAsia"/>
                      <w:b/>
                      <w:color w:val="000000"/>
                      <w:sz w:val="21"/>
                      <w:shd w:val="clear" w:color="auto" w:fill="FFFFFF"/>
                    </w:rPr>
                    <w:t>点</w:t>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卸油点、消防沙池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540635" cy="1937385"/>
                        <wp:effectExtent l="0" t="0" r="4445" b="13335"/>
                        <wp:docPr id="8" name="图片 8" descr="9841b563117cf59a81d23c515e2b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841b563117cf59a81d23c515e2b6ca"/>
                                <pic:cNvPicPr>
                                  <a:picLocks noChangeAspect="1"/>
                                </pic:cNvPicPr>
                              </pic:nvPicPr>
                              <pic:blipFill>
                                <a:blip r:embed="rId16"/>
                                <a:stretch>
                                  <a:fillRect/>
                                </a:stretch>
                              </pic:blipFill>
                              <pic:spPr>
                                <a:xfrm>
                                  <a:off x="0" y="0"/>
                                  <a:ext cx="2540635" cy="1937385"/>
                                </a:xfrm>
                                <a:prstGeom prst="rect">
                                  <a:avLst/>
                                </a:prstGeom>
                              </pic:spPr>
                            </pic:pic>
                          </a:graphicData>
                        </a:graphic>
                      </wp:inline>
                    </w:drawing>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541270" cy="1965325"/>
                        <wp:effectExtent l="0" t="0" r="3810" b="635"/>
                        <wp:docPr id="9" name="图片 9" descr="e7b5571da2beb73f630f56771c51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b5571da2beb73f630f56771c515db"/>
                                <pic:cNvPicPr>
                                  <a:picLocks noChangeAspect="1"/>
                                </pic:cNvPicPr>
                              </pic:nvPicPr>
                              <pic:blipFill>
                                <a:blip r:embed="rId17"/>
                                <a:stretch>
                                  <a:fillRect/>
                                </a:stretch>
                              </pic:blipFill>
                              <pic:spPr>
                                <a:xfrm>
                                  <a:off x="0" y="0"/>
                                  <a:ext cx="2541270" cy="196532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液位计</w:t>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化粪池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505710" cy="1797050"/>
                        <wp:effectExtent l="0" t="0" r="8890" b="1270"/>
                        <wp:docPr id="12" name="图片 12" descr="a2e273402ad1f4503f99af8c7e3c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e273402ad1f4503f99af8c7e3c469"/>
                                <pic:cNvPicPr>
                                  <a:picLocks noChangeAspect="1"/>
                                </pic:cNvPicPr>
                              </pic:nvPicPr>
                              <pic:blipFill>
                                <a:blip r:embed="rId18"/>
                                <a:stretch>
                                  <a:fillRect/>
                                </a:stretch>
                              </pic:blipFill>
                              <pic:spPr>
                                <a:xfrm>
                                  <a:off x="0" y="0"/>
                                  <a:ext cx="2505710" cy="1797050"/>
                                </a:xfrm>
                                <a:prstGeom prst="rect">
                                  <a:avLst/>
                                </a:prstGeom>
                              </pic:spPr>
                            </pic:pic>
                          </a:graphicData>
                        </a:graphic>
                      </wp:inline>
                    </w:drawing>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drawing>
                      <wp:inline distT="0" distB="0" distL="114300" distR="114300">
                        <wp:extent cx="2501900" cy="1876425"/>
                        <wp:effectExtent l="0" t="0" r="12700" b="13335"/>
                        <wp:docPr id="13" name="图片 13" descr="b0309dd3bd9079f2978b45a63f4e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0309dd3bd9079f2978b45a63f4ec39"/>
                                <pic:cNvPicPr>
                                  <a:picLocks noChangeAspect="1"/>
                                </pic:cNvPicPr>
                              </pic:nvPicPr>
                              <pic:blipFill>
                                <a:blip r:embed="rId19"/>
                                <a:stretch>
                                  <a:fillRect/>
                                </a:stretch>
                              </pic:blipFill>
                              <pic:spPr>
                                <a:xfrm>
                                  <a:off x="0" y="0"/>
                                  <a:ext cx="2501900" cy="187642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隔油池</w:t>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b/>
                      <w:color w:val="000000"/>
                      <w:sz w:val="21"/>
                      <w:shd w:val="clear" w:color="auto" w:fill="FFFFFF"/>
                    </w:rPr>
                    <w:t>垃圾站点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rFonts w:hint="eastAsia"/>
                      <w:b/>
                      <w:color w:val="000000"/>
                      <w:sz w:val="21"/>
                      <w:shd w:val="clear" w:color="auto" w:fill="FFFFFF"/>
                    </w:rPr>
                    <w:drawing>
                      <wp:inline distT="0" distB="0" distL="114300" distR="114300">
                        <wp:extent cx="2454910" cy="1928495"/>
                        <wp:effectExtent l="0" t="0" r="13970" b="6985"/>
                        <wp:docPr id="21" name="图片 21" descr="4d0b35a86716bf2a1d9cd0c4574f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d0b35a86716bf2a1d9cd0c4574f010"/>
                                <pic:cNvPicPr>
                                  <a:picLocks noChangeAspect="1"/>
                                </pic:cNvPicPr>
                              </pic:nvPicPr>
                              <pic:blipFill>
                                <a:blip r:embed="rId20"/>
                                <a:stretch>
                                  <a:fillRect/>
                                </a:stretch>
                              </pic:blipFill>
                              <pic:spPr>
                                <a:xfrm>
                                  <a:off x="0" y="0"/>
                                  <a:ext cx="2454910" cy="1928495"/>
                                </a:xfrm>
                                <a:prstGeom prst="rect">
                                  <a:avLst/>
                                </a:prstGeom>
                              </pic:spPr>
                            </pic:pic>
                          </a:graphicData>
                        </a:graphic>
                      </wp:inline>
                    </w:drawing>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rFonts w:hint="eastAsia"/>
                      <w:b/>
                      <w:color w:val="000000"/>
                      <w:sz w:val="21"/>
                      <w:shd w:val="clear" w:color="auto" w:fill="FFFFFF"/>
                    </w:rPr>
                    <w:drawing>
                      <wp:inline distT="0" distB="0" distL="114300" distR="114300">
                        <wp:extent cx="2541905" cy="1918335"/>
                        <wp:effectExtent l="0" t="0" r="3175" b="1905"/>
                        <wp:docPr id="23" name="图片 23" descr="86bf8acbac4cad83b4e9a3ccbc3b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6bf8acbac4cad83b4e9a3ccbc3bb93"/>
                                <pic:cNvPicPr>
                                  <a:picLocks noChangeAspect="1"/>
                                </pic:cNvPicPr>
                              </pic:nvPicPr>
                              <pic:blipFill>
                                <a:blip r:embed="rId21"/>
                                <a:stretch>
                                  <a:fillRect/>
                                </a:stretch>
                              </pic:blipFill>
                              <pic:spPr>
                                <a:xfrm>
                                  <a:off x="0" y="0"/>
                                  <a:ext cx="2541905" cy="191833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9"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rFonts w:hint="eastAsia"/>
                      <w:b/>
                      <w:color w:val="000000"/>
                      <w:sz w:val="21"/>
                      <w:shd w:val="clear" w:color="auto" w:fill="FFFFFF"/>
                    </w:rPr>
                    <w:t>地下水监测井</w:t>
                  </w:r>
                </w:p>
              </w:tc>
              <w:tc>
                <w:tcPr>
                  <w:tcW w:w="2510" w:type="pct"/>
                  <w:tcBorders>
                    <w:tl2br w:val="nil"/>
                    <w:tr2bl w:val="nil"/>
                  </w:tcBorders>
                </w:tcPr>
                <w:p>
                  <w:pPr>
                    <w:pStyle w:val="22"/>
                    <w:autoSpaceDE w:val="0"/>
                    <w:autoSpaceDN w:val="0"/>
                    <w:spacing w:line="240" w:lineRule="auto"/>
                    <w:ind w:firstLine="0" w:firstLineChars="0"/>
                    <w:jc w:val="center"/>
                    <w:rPr>
                      <w:b/>
                      <w:color w:val="000000"/>
                      <w:sz w:val="21"/>
                      <w:shd w:val="clear" w:color="auto" w:fill="FFFFFF"/>
                    </w:rPr>
                  </w:pPr>
                  <w:r>
                    <w:rPr>
                      <w:rFonts w:hint="eastAsia"/>
                      <w:b/>
                      <w:color w:val="000000"/>
                      <w:sz w:val="21"/>
                      <w:shd w:val="clear" w:color="auto" w:fill="FFFFFF"/>
                    </w:rPr>
                    <w:t>截流沟</w:t>
                  </w:r>
                </w:p>
              </w:tc>
            </w:tr>
          </w:tbl>
          <w:p>
            <w:pPr>
              <w:ind w:firstLine="0" w:firstLineChars="0"/>
              <w:rPr>
                <w:rFonts w:eastAsiaTheme="minorEastAsia"/>
                <w:bCs/>
                <w:color w:val="000000"/>
                <w:szCs w:val="28"/>
              </w:rPr>
            </w:pPr>
          </w:p>
        </w:tc>
      </w:tr>
    </w:tbl>
    <w:p>
      <w:pPr>
        <w:pStyle w:val="3"/>
        <w:widowControl/>
        <w:numPr>
          <w:ilvl w:val="0"/>
          <w:numId w:val="6"/>
        </w:numPr>
        <w:spacing w:before="0" w:after="0" w:line="240" w:lineRule="auto"/>
        <w:ind w:firstLine="0" w:firstLineChars="0"/>
        <w:rPr>
          <w:rFonts w:eastAsiaTheme="minorEastAsia"/>
          <w:color w:val="000000"/>
          <w:szCs w:val="32"/>
        </w:rPr>
        <w:sectPr>
          <w:footerReference r:id="rId9" w:type="default"/>
          <w:pgSz w:w="12240" w:h="15840"/>
          <w:pgMar w:top="1440" w:right="1440" w:bottom="1440" w:left="1440" w:header="720" w:footer="720" w:gutter="0"/>
          <w:pgNumType w:start="1"/>
          <w:cols w:space="0" w:num="1"/>
          <w:docGrid w:type="lines" w:linePitch="312" w:charSpace="0"/>
        </w:sectPr>
      </w:pPr>
      <w:bookmarkStart w:id="3" w:name="_Toc24581"/>
      <w:bookmarkStart w:id="4" w:name="_Toc8610"/>
    </w:p>
    <w:p>
      <w:pPr>
        <w:pStyle w:val="3"/>
        <w:numPr>
          <w:ilvl w:val="0"/>
          <w:numId w:val="6"/>
        </w:numPr>
        <w:spacing w:before="0" w:after="0"/>
        <w:ind w:firstLine="0" w:firstLineChars="0"/>
      </w:pPr>
      <w:r>
        <w:t>建设项目所在地自然环境简况</w:t>
      </w:r>
      <w:bookmarkEnd w:id="3"/>
      <w:bookmarkEnd w:id="4"/>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PrEx>
        <w:tc>
          <w:tcPr>
            <w:tcW w:w="5000" w:type="pct"/>
            <w:tcBorders>
              <w:tl2br w:val="nil"/>
              <w:tr2bl w:val="nil"/>
            </w:tcBorders>
          </w:tcPr>
          <w:p>
            <w:pPr>
              <w:ind w:firstLine="0" w:firstLineChars="0"/>
              <w:jc w:val="both"/>
              <w:rPr>
                <w:rFonts w:eastAsiaTheme="minorEastAsia"/>
                <w:b/>
                <w:bCs/>
                <w:color w:val="000000"/>
                <w:szCs w:val="28"/>
              </w:rPr>
            </w:pPr>
            <w:r>
              <w:rPr>
                <w:b/>
                <w:bCs/>
              </w:rPr>
              <w:t>自然环境简况（地形、地貌、地质、气候、气象、水文、植被等）：</w:t>
            </w:r>
          </w:p>
          <w:p>
            <w:pPr>
              <w:ind w:firstLine="0" w:firstLineChars="0"/>
              <w:jc w:val="both"/>
              <w:rPr>
                <w:b/>
                <w:bCs/>
              </w:rPr>
            </w:pPr>
            <w:r>
              <w:rPr>
                <w:b/>
                <w:bCs/>
              </w:rPr>
              <w:t>1、地理位置</w:t>
            </w:r>
          </w:p>
          <w:p>
            <w:pPr>
              <w:ind w:firstLine="560"/>
              <w:jc w:val="both"/>
            </w:pPr>
            <w:r>
              <w:t>桃江县位于湘中偏北，资江中下游。地理坐标为东经111°36′~112°19′,北纬28°13′~28°41′。四周临五个县，一个市。全县土地面积2063平方公里，耕地61万亩，山地235万亩，森林覆盖率54%，全县辖15个乡镇，773个自然村。</w:t>
            </w:r>
          </w:p>
          <w:p>
            <w:pPr>
              <w:ind w:firstLine="560"/>
              <w:jc w:val="both"/>
            </w:pPr>
            <w:r>
              <w:t>本项目位于桃江县鲊埠加油点位于桃江县鲊埠回族乡鲊埠社区一里街组，中心地理坐标为：111°48′37.07392″E，28°30′42.96398″N。</w:t>
            </w:r>
          </w:p>
          <w:p>
            <w:pPr>
              <w:ind w:firstLine="0" w:firstLineChars="0"/>
              <w:jc w:val="both"/>
              <w:rPr>
                <w:b/>
                <w:bCs/>
              </w:rPr>
            </w:pPr>
            <w:r>
              <w:rPr>
                <w:b/>
                <w:bCs/>
              </w:rPr>
              <w:t>2、地形地貌</w:t>
            </w:r>
            <w:r>
              <w:rPr>
                <w:rFonts w:hint="eastAsia"/>
                <w:b/>
                <w:bCs/>
              </w:rPr>
              <w:t>地质</w:t>
            </w:r>
          </w:p>
          <w:p>
            <w:pPr>
              <w:ind w:firstLine="560"/>
              <w:jc w:val="both"/>
            </w:pPr>
            <w:r>
              <w:t>桃江县境地貌类型多样，山、丘、岗、平犬牙交错。山地以西南部居多，丘陵主要分布在西北部和东部，岗地分布于平原与丘陵之间，平原分布在中部资江和溪河两岸以及山间谷地之中。桃江县地处雪峰山余脉向洞庭湖平原过渡的丘陵地带，属低山丘岗地貌，最高点雪峰坳海拔335.4m，最低海拔37m。境内土壤主要以土母岩、板页岩为主，上层厚度一般在40-50cm，大部分土壤肥沃，矿物质丰富，养分含量高，适宜楠竹生长。</w:t>
            </w:r>
          </w:p>
          <w:p>
            <w:pPr>
              <w:ind w:firstLine="560"/>
              <w:jc w:val="both"/>
            </w:pPr>
            <w:r>
              <w:t>根据“中国地震烈度区划工作报告”中地震区（带）的划分，本桃花江镇属长江中下游地震亚区的麻城—岳阳—宁远地震带。该带孕震、控震的资江断裂带一般以低于5级地震形势释放能量。本区属弱震区，地震基本烈度为Ⅵ度，地震动峰值加速度为0.05 g，地震动反应谱特周期为0.35 s。</w:t>
            </w:r>
          </w:p>
          <w:p>
            <w:pPr>
              <w:ind w:firstLine="0" w:firstLineChars="0"/>
              <w:jc w:val="both"/>
              <w:rPr>
                <w:b/>
                <w:bCs/>
              </w:rPr>
            </w:pPr>
            <w:r>
              <w:rPr>
                <w:b/>
                <w:bCs/>
              </w:rPr>
              <w:t>3、气象气候</w:t>
            </w:r>
          </w:p>
          <w:p>
            <w:pPr>
              <w:ind w:firstLine="560"/>
              <w:jc w:val="both"/>
              <w:rPr>
                <w:rFonts w:eastAsiaTheme="minorEastAsia"/>
                <w:color w:val="000000"/>
                <w:szCs w:val="28"/>
              </w:rPr>
            </w:pPr>
            <w:r>
              <w:t>桃江县处于中亚热带向北亚热带过度地区，属中亚热带大陆性季风湿润气候区。气候温暖，四季分明，热量充足，雨季明显，春温多变，夏秋多旱，严寒期短，暑热期长。具体参数如下：</w:t>
            </w:r>
          </w:p>
          <w:p>
            <w:pPr>
              <w:ind w:firstLine="560"/>
              <w:jc w:val="both"/>
            </w:pPr>
            <w:r>
              <w:t>历年最高气温             4</w:t>
            </w:r>
            <w:r>
              <w:rPr>
                <w:rFonts w:hint="eastAsia"/>
              </w:rPr>
              <w:t>1.80</w:t>
            </w:r>
            <w:r>
              <w:t>℃</w:t>
            </w:r>
          </w:p>
          <w:p>
            <w:pPr>
              <w:ind w:firstLine="560"/>
              <w:jc w:val="both"/>
            </w:pPr>
            <w:r>
              <w:t>历年最低气温             -1</w:t>
            </w:r>
            <w:r>
              <w:rPr>
                <w:rFonts w:hint="eastAsia"/>
              </w:rPr>
              <w:t>1.30</w:t>
            </w:r>
            <w:r>
              <w:t>℃</w:t>
            </w:r>
          </w:p>
          <w:p>
            <w:pPr>
              <w:ind w:firstLine="560"/>
              <w:jc w:val="both"/>
            </w:pPr>
            <w:r>
              <w:t>年平均气温               16.6℃</w:t>
            </w:r>
          </w:p>
          <w:p>
            <w:pPr>
              <w:ind w:firstLine="560"/>
              <w:jc w:val="both"/>
            </w:pPr>
            <w:r>
              <w:t>年平均气压               1010.8 hPa</w:t>
            </w:r>
          </w:p>
          <w:p>
            <w:pPr>
              <w:ind w:firstLine="560"/>
              <w:jc w:val="both"/>
            </w:pPr>
            <w:r>
              <w:t>年平均降雨量             1569 mm</w:t>
            </w:r>
          </w:p>
          <w:p>
            <w:pPr>
              <w:ind w:firstLine="560"/>
              <w:jc w:val="both"/>
            </w:pPr>
            <w:r>
              <w:t>年最大降雨量             2255mm</w:t>
            </w:r>
          </w:p>
          <w:p>
            <w:pPr>
              <w:ind w:firstLine="560"/>
              <w:jc w:val="both"/>
            </w:pPr>
            <w:r>
              <w:t>年最小降雨量             1041mm</w:t>
            </w:r>
          </w:p>
          <w:p>
            <w:pPr>
              <w:ind w:firstLine="560"/>
              <w:jc w:val="both"/>
            </w:pPr>
            <w:r>
              <w:t>平均干燥度               0.9</w:t>
            </w:r>
          </w:p>
          <w:p>
            <w:pPr>
              <w:ind w:firstLine="560"/>
              <w:jc w:val="both"/>
            </w:pPr>
            <w:r>
              <w:t>相对湿度                 82%</w:t>
            </w:r>
          </w:p>
          <w:p>
            <w:pPr>
              <w:ind w:firstLine="560"/>
              <w:jc w:val="both"/>
            </w:pPr>
            <w:r>
              <w:t>年均降雪日数             10.5天</w:t>
            </w:r>
          </w:p>
          <w:p>
            <w:pPr>
              <w:ind w:firstLine="560"/>
              <w:jc w:val="both"/>
            </w:pPr>
            <w:r>
              <w:t>最大积雪厚度为           22cm</w:t>
            </w:r>
          </w:p>
          <w:p>
            <w:pPr>
              <w:ind w:firstLine="560"/>
              <w:jc w:val="both"/>
            </w:pPr>
            <w:r>
              <w:t xml:space="preserve">常年主导风向             </w:t>
            </w:r>
            <w:r>
              <w:rPr>
                <w:rFonts w:hint="eastAsia"/>
              </w:rPr>
              <w:t>NE</w:t>
            </w:r>
          </w:p>
          <w:p>
            <w:pPr>
              <w:ind w:firstLine="560"/>
              <w:jc w:val="both"/>
            </w:pPr>
            <w:r>
              <w:t>平均风速                 1.8m/s</w:t>
            </w:r>
          </w:p>
          <w:p>
            <w:pPr>
              <w:ind w:firstLine="0" w:firstLineChars="0"/>
              <w:jc w:val="both"/>
              <w:rPr>
                <w:b/>
                <w:bCs/>
              </w:rPr>
            </w:pPr>
            <w:r>
              <w:rPr>
                <w:b/>
                <w:bCs/>
              </w:rPr>
              <w:t>4、水文</w:t>
            </w:r>
          </w:p>
          <w:p>
            <w:pPr>
              <w:ind w:firstLine="560"/>
              <w:jc w:val="both"/>
            </w:pPr>
            <w:r>
              <w:t>（1）地表水</w:t>
            </w:r>
          </w:p>
          <w:p>
            <w:pPr>
              <w:ind w:firstLine="560"/>
              <w:jc w:val="both"/>
            </w:pPr>
            <w:r>
              <w:t>项目所在区域地表水体主要有资江。</w:t>
            </w:r>
          </w:p>
          <w:p>
            <w:pPr>
              <w:ind w:firstLine="560"/>
              <w:jc w:val="both"/>
            </w:pPr>
            <w:r>
              <w:t>资江属洞庭湖水系，长江的一级支流，发源于广西资源县境内猫儿山东北麓， 浩浩北去，最后注入湖南省洞庭湖，流经广西资源县、湖南城步县、武冈市、隆回县、洞口县、邵阳县、邵阳市、新邵县、冷水江市、新化县、安化县、桃江县和益阳市，共13个县市，干流全长713公里，流域面积282142平方公里，平均坡降0.65‰，流域内多山地和丘陵，地势大致西南高、东北部低，资江流经桃江县域102公里，河道平均坡降0.38‰；河道平均宽度280m，最大流量：11800m</w:t>
            </w:r>
            <w:r>
              <w:rPr>
                <w:vertAlign w:val="superscript"/>
              </w:rPr>
              <w:t>3</w:t>
            </w:r>
            <w:r>
              <w:t>/s，最小流量：90.5m</w:t>
            </w:r>
            <w:r>
              <w:rPr>
                <w:vertAlign w:val="superscript"/>
              </w:rPr>
              <w:t>3</w:t>
            </w:r>
            <w:r>
              <w:t>/s；多年平均流量：688m</w:t>
            </w:r>
            <w:r>
              <w:rPr>
                <w:vertAlign w:val="superscript"/>
              </w:rPr>
              <w:t>3</w:t>
            </w:r>
            <w:r>
              <w:t>/s；最高洪水水位：40.79m；最低枯水水位：34.29m；多年平均水位：35.57m。</w:t>
            </w:r>
          </w:p>
          <w:p>
            <w:pPr>
              <w:ind w:firstLine="560"/>
              <w:jc w:val="both"/>
            </w:pPr>
            <w:r>
              <w:t>（2）地下水</w:t>
            </w:r>
          </w:p>
          <w:p>
            <w:pPr>
              <w:ind w:firstLine="560"/>
              <w:jc w:val="both"/>
            </w:pPr>
            <w:r>
              <w:t>桃江县境水资源蕴藏量较大。1986-2000年，年平均水资源总量261.21亿立方米。县境年平均降水总量33.63亿立方米，占湖南省降水总量的1.1%。陆地蒸发14.42亿立方米，地表径流总量18.7亿立方米，资江过境水量223.7亿立方米，地下水量3.88亿立方米。可利用水量22.58亿立方米，为全国平均水平的1.16倍、为湖南省平均水平的81%。已利用水量4.09亿立方米，占可利用水量的18.1%，其中蓄、引、提总水量为3.25亿立方米，人畜用水量0.643亿立方米，其他用水量0.2亿立方米。</w:t>
            </w:r>
          </w:p>
          <w:p>
            <w:pPr>
              <w:ind w:firstLine="560"/>
              <w:jc w:val="both"/>
            </w:pPr>
            <w:r>
              <w:t>本项目所在区域地下水的补给主要为大气降水和资江水。地下水位及水量变化增减受季节因素的影响</w:t>
            </w:r>
            <w:r>
              <w:rPr>
                <w:rFonts w:hint="eastAsia"/>
              </w:rPr>
              <w:t>，项目周围的居民饮用水都是乡镇供水，水源为碧螺水库。</w:t>
            </w:r>
          </w:p>
          <w:p>
            <w:pPr>
              <w:ind w:firstLine="0" w:firstLineChars="0"/>
              <w:jc w:val="both"/>
              <w:rPr>
                <w:b/>
                <w:bCs/>
              </w:rPr>
            </w:pPr>
            <w:r>
              <w:rPr>
                <w:b/>
                <w:bCs/>
              </w:rPr>
              <w:t>5、植被与生物</w:t>
            </w:r>
          </w:p>
          <w:p>
            <w:pPr>
              <w:ind w:firstLine="560"/>
              <w:jc w:val="both"/>
              <w:rPr>
                <w:rFonts w:eastAsiaTheme="minorEastAsia"/>
                <w:color w:val="000000"/>
                <w:szCs w:val="28"/>
              </w:rPr>
            </w:pPr>
            <w:r>
              <w:t>桃江县属中亚热带常绿阔叶林北部亚地带植被和栽培植被区。植物区系以华东、华中区系过渡地带为主。项目所在区域野生动物较少，主要有黄鼠狼、野兔、老鼠、蛇类、青蛙、山雀、八哥等。家畜主要有猪、牛、羊、鸡、鸭、兔等。水生鱼类资源主要有草鱼、鲤鱼、鲫鱼、鲭鱼、鲢鱼等。项目所在区域未发现野生的珍稀濒危动植物种类。区域地带性植被为常绿阔叶林，受人为活动影响，目前区内植被类型较为单一，以针叶林为主。林木多以马尾松、杉木为主，常绿阔叶林的痕迹在灌丛中尚有残存。周边无风景名胜和自然保护区。</w:t>
            </w:r>
          </w:p>
          <w:p>
            <w:pPr>
              <w:ind w:firstLine="0" w:firstLineChars="0"/>
              <w:jc w:val="both"/>
              <w:rPr>
                <w:b/>
                <w:bCs/>
              </w:rPr>
            </w:pPr>
            <w:r>
              <w:rPr>
                <w:b/>
                <w:bCs/>
              </w:rPr>
              <w:t>6、区域环境功能区划</w:t>
            </w:r>
          </w:p>
          <w:p>
            <w:pPr>
              <w:ind w:firstLine="560"/>
              <w:jc w:val="both"/>
            </w:pPr>
            <w:r>
              <w:t>本项目所在地环境功能属性见下表。</w:t>
            </w:r>
          </w:p>
          <w:p>
            <w:pPr>
              <w:spacing w:line="240" w:lineRule="auto"/>
              <w:ind w:firstLine="422"/>
              <w:jc w:val="center"/>
              <w:rPr>
                <w:b/>
                <w:color w:val="000000"/>
                <w:sz w:val="21"/>
                <w:shd w:val="clear" w:color="auto" w:fill="FFFFFF"/>
              </w:rPr>
            </w:pPr>
            <w:r>
              <w:rPr>
                <w:b/>
                <w:color w:val="000000"/>
                <w:sz w:val="21"/>
                <w:shd w:val="clear" w:color="auto" w:fill="FFFFFF"/>
              </w:rPr>
              <w:t>表2-1 项目区域环境功能属性</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828"/>
              <w:gridCol w:w="50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编号</w:t>
                  </w:r>
                </w:p>
              </w:tc>
              <w:tc>
                <w:tcPr>
                  <w:tcW w:w="1637"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项目</w:t>
                  </w:r>
                </w:p>
              </w:tc>
              <w:tc>
                <w:tcPr>
                  <w:tcW w:w="2920"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功能属性及执行标准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1</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地表水</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《地表水环境质量标准》（GB3838-2002）III类标准，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2</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环境空气质量功能区</w:t>
                  </w:r>
                </w:p>
              </w:tc>
              <w:tc>
                <w:tcPr>
                  <w:tcW w:w="2920" w:type="pct"/>
                  <w:tcBorders>
                    <w:tl2br w:val="nil"/>
                    <w:tr2bl w:val="nil"/>
                  </w:tcBorders>
                  <w:shd w:val="clear" w:color="auto" w:fill="auto"/>
                  <w:vAlign w:val="center"/>
                </w:tcPr>
                <w:p>
                  <w:pPr>
                    <w:spacing w:line="240" w:lineRule="auto"/>
                    <w:ind w:firstLine="0" w:firstLineChars="0"/>
                    <w:jc w:val="both"/>
                    <w:rPr>
                      <w:color w:val="000000"/>
                      <w:sz w:val="21"/>
                    </w:rPr>
                  </w:pPr>
                  <w:r>
                    <w:rPr>
                      <w:color w:val="000000"/>
                      <w:sz w:val="21"/>
                    </w:rPr>
                    <w:t>二类区，执行《环境空气质量标准》（GB3095-2012）二级标准。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3</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声环境功能区</w:t>
                  </w:r>
                </w:p>
              </w:tc>
              <w:tc>
                <w:tcPr>
                  <w:tcW w:w="2920" w:type="pct"/>
                  <w:tcBorders>
                    <w:tl2br w:val="nil"/>
                    <w:tr2bl w:val="nil"/>
                  </w:tcBorders>
                  <w:shd w:val="clear" w:color="auto" w:fill="auto"/>
                  <w:vAlign w:val="center"/>
                </w:tcPr>
                <w:p>
                  <w:pPr>
                    <w:spacing w:line="240" w:lineRule="auto"/>
                    <w:ind w:firstLine="0" w:firstLineChars="0"/>
                    <w:jc w:val="both"/>
                    <w:rPr>
                      <w:color w:val="000000"/>
                      <w:sz w:val="21"/>
                    </w:rPr>
                  </w:pPr>
                  <w:r>
                    <w:rPr>
                      <w:color w:val="000000"/>
                      <w:sz w:val="21"/>
                    </w:rPr>
                    <w:t>执行《声环境质量标准》（GB3096-2008）中2类标准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4</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是否基本农田保护区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5</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是否森林公园</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6</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是否生态功能保护区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7</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是否水土流失重点防治区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8</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是否人口密集区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9</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是否重点文物保护单位</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10</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是否三河、三湖、两控区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是（两控区）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11</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是否水库库区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12</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是否污水处理厂集水范围</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13</w:t>
                  </w:r>
                </w:p>
              </w:tc>
              <w:tc>
                <w:tcPr>
                  <w:tcW w:w="16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是否属于生态敏感与脆弱区</w:t>
                  </w:r>
                </w:p>
              </w:tc>
              <w:tc>
                <w:tcPr>
                  <w:tcW w:w="29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否</w:t>
                  </w:r>
                </w:p>
              </w:tc>
            </w:tr>
          </w:tbl>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0" w:firstLineChars="0"/>
              <w:jc w:val="both"/>
              <w:rPr>
                <w:rFonts w:eastAsiaTheme="minorEastAsia"/>
                <w:b/>
                <w:color w:val="000000"/>
                <w:szCs w:val="28"/>
              </w:rPr>
            </w:pPr>
          </w:p>
        </w:tc>
      </w:tr>
    </w:tbl>
    <w:p>
      <w:pPr>
        <w:ind w:firstLine="0" w:firstLineChars="0"/>
        <w:rPr>
          <w:rFonts w:eastAsiaTheme="minorEastAsia"/>
        </w:rPr>
        <w:sectPr>
          <w:pgSz w:w="12240" w:h="15840"/>
          <w:pgMar w:top="1440" w:right="1800" w:bottom="1440" w:left="1800" w:header="720" w:footer="720" w:gutter="0"/>
          <w:cols w:space="425" w:num="1"/>
          <w:docGrid w:type="lines" w:linePitch="312" w:charSpace="0"/>
        </w:sectPr>
      </w:pPr>
    </w:p>
    <w:p>
      <w:pPr>
        <w:pStyle w:val="3"/>
        <w:numPr>
          <w:ilvl w:val="0"/>
          <w:numId w:val="6"/>
        </w:numPr>
        <w:spacing w:before="0" w:after="0" w:line="240" w:lineRule="auto"/>
        <w:ind w:firstLine="0" w:firstLineChars="0"/>
      </w:pPr>
      <w:bookmarkStart w:id="5" w:name="_Toc13004"/>
      <w:bookmarkStart w:id="6" w:name="_Toc13790"/>
      <w:bookmarkStart w:id="7" w:name="_Toc460481176"/>
      <w:bookmarkStart w:id="8" w:name="_Toc4816"/>
      <w:r>
        <w:t>环境质量状况</w:t>
      </w:r>
      <w:bookmarkEnd w:id="5"/>
      <w:bookmarkEnd w:id="6"/>
      <w:bookmarkEnd w:id="7"/>
      <w:bookmarkEnd w:id="8"/>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0" w:hRule="atLeast"/>
        </w:trPr>
        <w:tc>
          <w:tcPr>
            <w:tcW w:w="8820" w:type="dxa"/>
            <w:tcBorders>
              <w:tl2br w:val="nil"/>
              <w:tr2bl w:val="nil"/>
            </w:tcBorders>
          </w:tcPr>
          <w:p>
            <w:pPr>
              <w:ind w:firstLine="0" w:firstLineChars="0"/>
              <w:jc w:val="both"/>
              <w:rPr>
                <w:b/>
                <w:color w:val="000000"/>
                <w:szCs w:val="28"/>
              </w:rPr>
            </w:pPr>
            <w:r>
              <w:rPr>
                <w:b/>
                <w:color w:val="000000"/>
                <w:szCs w:val="28"/>
              </w:rPr>
              <w:t>建设项目所在地区域环境质量现状及主要环境问题（环境空气、地面水、地下水、声环境、生态环境等）：</w:t>
            </w:r>
          </w:p>
          <w:p>
            <w:pPr>
              <w:spacing w:line="360" w:lineRule="auto"/>
              <w:ind w:firstLine="0" w:firstLineChars="0"/>
              <w:jc w:val="both"/>
              <w:rPr>
                <w:b/>
                <w:color w:val="000000"/>
                <w:szCs w:val="28"/>
              </w:rPr>
            </w:pPr>
            <w:r>
              <w:rPr>
                <w:b/>
                <w:color w:val="000000"/>
                <w:szCs w:val="28"/>
              </w:rPr>
              <w:t>1、大气环境现状调查与评价</w:t>
            </w:r>
          </w:p>
          <w:p>
            <w:pPr>
              <w:ind w:firstLine="560"/>
              <w:jc w:val="both"/>
            </w:pPr>
            <w:r>
              <w:t>（1）区域环境空气质量达标判定</w:t>
            </w:r>
          </w:p>
          <w:p>
            <w:pPr>
              <w:ind w:firstLine="560"/>
              <w:jc w:val="both"/>
            </w:pPr>
            <w:r>
              <w:rPr>
                <w:rFonts w:hint="eastAsia"/>
              </w:rPr>
              <w:t>本次评价收集了桃江县2019年的环境空气质量监测数据</w:t>
            </w:r>
            <w:r>
              <w:t>。桃江县2019年大气常规监测结果如下表所示：</w:t>
            </w:r>
          </w:p>
          <w:p>
            <w:pPr>
              <w:pStyle w:val="25"/>
              <w:spacing w:after="0" w:line="240" w:lineRule="auto"/>
              <w:ind w:left="0" w:leftChars="0" w:firstLine="0" w:firstLineChars="0"/>
              <w:jc w:val="center"/>
              <w:rPr>
                <w:sz w:val="21"/>
                <w:szCs w:val="21"/>
              </w:rPr>
            </w:pPr>
            <w:r>
              <w:rPr>
                <w:b/>
                <w:bCs/>
                <w:sz w:val="21"/>
                <w:szCs w:val="21"/>
              </w:rPr>
              <w:t xml:space="preserve">表3-1 </w:t>
            </w:r>
            <w:r>
              <w:rPr>
                <w:rFonts w:hint="eastAsia"/>
                <w:b/>
                <w:bCs/>
                <w:sz w:val="21"/>
                <w:szCs w:val="21"/>
              </w:rPr>
              <w:t xml:space="preserve">  </w:t>
            </w:r>
            <w:r>
              <w:rPr>
                <w:b/>
                <w:bCs/>
                <w:sz w:val="21"/>
                <w:szCs w:val="21"/>
              </w:rPr>
              <w:t>2019年桃江县常规监测因子年平均浓度</w:t>
            </w:r>
          </w:p>
          <w:tbl>
            <w:tblPr>
              <w:tblStyle w:val="26"/>
              <w:tblW w:w="5000" w:type="pct"/>
              <w:tblInd w:w="1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323"/>
              <w:gridCol w:w="1170"/>
              <w:gridCol w:w="1475"/>
              <w:gridCol w:w="1475"/>
              <w:gridCol w:w="134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污染物</w:t>
                  </w:r>
                </w:p>
              </w:tc>
              <w:tc>
                <w:tcPr>
                  <w:tcW w:w="1349" w:type="pct"/>
                  <w:tcBorders>
                    <w:tl2br w:val="nil"/>
                    <w:tr2bl w:val="nil"/>
                  </w:tcBorders>
                  <w:shd w:val="clear" w:color="auto" w:fill="auto"/>
                  <w:vAlign w:val="center"/>
                </w:tcPr>
                <w:p>
                  <w:pPr>
                    <w:pStyle w:val="53"/>
                    <w:widowControl/>
                    <w:spacing w:line="240" w:lineRule="auto"/>
                    <w:ind w:firstLine="0" w:firstLineChars="0"/>
                    <w:rPr>
                      <w:b/>
                      <w:bCs/>
                    </w:rPr>
                  </w:pPr>
                  <w:r>
                    <w:rPr>
                      <w:b/>
                      <w:bCs/>
                    </w:rPr>
                    <w:t>年评价指标</w:t>
                  </w:r>
                </w:p>
              </w:tc>
              <w:tc>
                <w:tcPr>
                  <w:tcW w:w="680" w:type="pct"/>
                  <w:tcBorders>
                    <w:tl2br w:val="nil"/>
                    <w:tr2bl w:val="nil"/>
                  </w:tcBorders>
                  <w:shd w:val="clear" w:color="auto" w:fill="auto"/>
                  <w:vAlign w:val="center"/>
                </w:tcPr>
                <w:p>
                  <w:pPr>
                    <w:pStyle w:val="53"/>
                    <w:widowControl/>
                    <w:spacing w:line="240" w:lineRule="auto"/>
                    <w:ind w:firstLine="0" w:firstLineChars="0"/>
                    <w:rPr>
                      <w:b/>
                      <w:bCs/>
                    </w:rPr>
                  </w:pPr>
                  <w:r>
                    <w:rPr>
                      <w:b/>
                      <w:bCs/>
                    </w:rPr>
                    <w:t>现状浓度/</w:t>
                  </w:r>
                </w:p>
                <w:p>
                  <w:pPr>
                    <w:pStyle w:val="53"/>
                    <w:widowControl/>
                    <w:spacing w:line="240" w:lineRule="auto"/>
                    <w:ind w:firstLine="0" w:firstLineChars="0"/>
                    <w:rPr>
                      <w:b/>
                      <w:bCs/>
                    </w:rPr>
                  </w:pPr>
                  <w:r>
                    <w:rPr>
                      <w:b/>
                      <w:bCs/>
                    </w:rPr>
                    <w:t>(ug/m</w:t>
                  </w:r>
                  <w:r>
                    <w:rPr>
                      <w:b/>
                      <w:bCs/>
                      <w:vertAlign w:val="superscript"/>
                    </w:rPr>
                    <w:t>3</w:t>
                  </w:r>
                  <w:r>
                    <w:rPr>
                      <w:b/>
                      <w:bCs/>
                    </w:rPr>
                    <w:t>)</w:t>
                  </w:r>
                </w:p>
              </w:tc>
              <w:tc>
                <w:tcPr>
                  <w:tcW w:w="856" w:type="pct"/>
                  <w:tcBorders>
                    <w:tl2br w:val="nil"/>
                    <w:tr2bl w:val="nil"/>
                  </w:tcBorders>
                  <w:shd w:val="clear" w:color="auto" w:fill="auto"/>
                  <w:vAlign w:val="center"/>
                </w:tcPr>
                <w:p>
                  <w:pPr>
                    <w:pStyle w:val="53"/>
                    <w:widowControl/>
                    <w:spacing w:line="240" w:lineRule="auto"/>
                    <w:ind w:firstLine="0" w:firstLineChars="0"/>
                    <w:rPr>
                      <w:b/>
                      <w:bCs/>
                    </w:rPr>
                  </w:pPr>
                  <w:r>
                    <w:rPr>
                      <w:b/>
                      <w:bCs/>
                    </w:rPr>
                    <w:t>标准值/</w:t>
                  </w:r>
                </w:p>
                <w:p>
                  <w:pPr>
                    <w:pStyle w:val="53"/>
                    <w:widowControl/>
                    <w:spacing w:line="240" w:lineRule="auto"/>
                    <w:ind w:firstLine="0" w:firstLineChars="0"/>
                    <w:rPr>
                      <w:b/>
                      <w:bCs/>
                    </w:rPr>
                  </w:pPr>
                  <w:r>
                    <w:rPr>
                      <w:b/>
                      <w:bCs/>
                    </w:rPr>
                    <w:t>(ug/m</w:t>
                  </w:r>
                  <w:r>
                    <w:rPr>
                      <w:b/>
                      <w:bCs/>
                      <w:vertAlign w:val="superscript"/>
                    </w:rPr>
                    <w:t>3</w:t>
                  </w:r>
                  <w:r>
                    <w:rPr>
                      <w:b/>
                      <w:bCs/>
                    </w:rPr>
                    <w:t>)</w:t>
                  </w:r>
                </w:p>
              </w:tc>
              <w:tc>
                <w:tcPr>
                  <w:tcW w:w="856" w:type="pct"/>
                  <w:tcBorders>
                    <w:tl2br w:val="nil"/>
                    <w:tr2bl w:val="nil"/>
                  </w:tcBorders>
                  <w:shd w:val="clear" w:color="auto" w:fill="auto"/>
                  <w:vAlign w:val="center"/>
                </w:tcPr>
                <w:p>
                  <w:pPr>
                    <w:pStyle w:val="53"/>
                    <w:widowControl/>
                    <w:spacing w:line="240" w:lineRule="auto"/>
                    <w:ind w:firstLine="0" w:firstLineChars="0"/>
                    <w:rPr>
                      <w:b/>
                      <w:bCs/>
                    </w:rPr>
                  </w:pPr>
                  <w:r>
                    <w:rPr>
                      <w:b/>
                      <w:bCs/>
                    </w:rPr>
                    <w:t>占标率/%</w:t>
                  </w:r>
                </w:p>
              </w:tc>
              <w:tc>
                <w:tcPr>
                  <w:tcW w:w="781" w:type="pct"/>
                  <w:tcBorders>
                    <w:tl2br w:val="nil"/>
                    <w:tr2bl w:val="nil"/>
                  </w:tcBorders>
                  <w:shd w:val="clear" w:color="auto" w:fill="auto"/>
                  <w:vAlign w:val="center"/>
                </w:tcPr>
                <w:p>
                  <w:pPr>
                    <w:pStyle w:val="53"/>
                    <w:widowControl/>
                    <w:spacing w:line="240" w:lineRule="auto"/>
                    <w:ind w:firstLine="0" w:firstLineChars="0"/>
                    <w:rPr>
                      <w:b/>
                      <w:bCs/>
                    </w:rPr>
                  </w:pPr>
                  <w:r>
                    <w:rPr>
                      <w:b/>
                      <w:bCs/>
                    </w:rPr>
                    <w:t>达标情况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PM</w:t>
                  </w:r>
                  <w:r>
                    <w:rPr>
                      <w:b/>
                      <w:bCs/>
                      <w:vertAlign w:val="subscript"/>
                    </w:rPr>
                    <w:t>2.5</w:t>
                  </w:r>
                </w:p>
              </w:tc>
              <w:tc>
                <w:tcPr>
                  <w:tcW w:w="1349" w:type="pct"/>
                  <w:tcBorders>
                    <w:tl2br w:val="nil"/>
                    <w:tr2bl w:val="nil"/>
                  </w:tcBorders>
                  <w:shd w:val="clear" w:color="auto" w:fill="auto"/>
                  <w:vAlign w:val="center"/>
                </w:tcPr>
                <w:p>
                  <w:pPr>
                    <w:pStyle w:val="53"/>
                    <w:widowControl/>
                    <w:spacing w:line="240" w:lineRule="auto"/>
                    <w:ind w:firstLine="0" w:firstLineChars="0"/>
                  </w:pPr>
                  <w:r>
                    <w:t>年平均质量浓度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40</w:t>
                  </w:r>
                </w:p>
              </w:tc>
              <w:tc>
                <w:tcPr>
                  <w:tcW w:w="856" w:type="pct"/>
                  <w:tcBorders>
                    <w:tl2br w:val="nil"/>
                    <w:tr2bl w:val="nil"/>
                  </w:tcBorders>
                  <w:shd w:val="clear" w:color="auto" w:fill="auto"/>
                  <w:vAlign w:val="center"/>
                </w:tcPr>
                <w:p>
                  <w:pPr>
                    <w:pStyle w:val="53"/>
                    <w:widowControl/>
                    <w:spacing w:line="240" w:lineRule="auto"/>
                    <w:ind w:firstLine="0" w:firstLineChars="0"/>
                  </w:pPr>
                  <w:r>
                    <w:t>35</w:t>
                  </w:r>
                </w:p>
              </w:tc>
              <w:tc>
                <w:tcPr>
                  <w:tcW w:w="856" w:type="pct"/>
                  <w:tcBorders>
                    <w:tl2br w:val="nil"/>
                    <w:tr2bl w:val="nil"/>
                  </w:tcBorders>
                  <w:shd w:val="clear" w:color="auto" w:fill="auto"/>
                  <w:vAlign w:val="center"/>
                </w:tcPr>
                <w:p>
                  <w:pPr>
                    <w:pStyle w:val="53"/>
                    <w:widowControl/>
                    <w:spacing w:line="240" w:lineRule="auto"/>
                    <w:ind w:firstLine="0" w:firstLineChars="0"/>
                  </w:pPr>
                  <w:r>
                    <w:t>114</w:t>
                  </w:r>
                </w:p>
              </w:tc>
              <w:tc>
                <w:tcPr>
                  <w:tcW w:w="781" w:type="pct"/>
                  <w:tcBorders>
                    <w:tl2br w:val="nil"/>
                    <w:tr2bl w:val="nil"/>
                  </w:tcBorders>
                  <w:shd w:val="clear" w:color="auto" w:fill="auto"/>
                  <w:vAlign w:val="center"/>
                </w:tcPr>
                <w:p>
                  <w:pPr>
                    <w:pStyle w:val="53"/>
                    <w:widowControl/>
                    <w:spacing w:line="240" w:lineRule="auto"/>
                    <w:ind w:firstLine="0" w:firstLineChars="0"/>
                  </w:pPr>
                  <w:r>
                    <w:t>不达标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PM</w:t>
                  </w:r>
                  <w:r>
                    <w:rPr>
                      <w:b/>
                      <w:bCs/>
                      <w:vertAlign w:val="subscript"/>
                    </w:rPr>
                    <w:t>10</w:t>
                  </w:r>
                </w:p>
              </w:tc>
              <w:tc>
                <w:tcPr>
                  <w:tcW w:w="1349" w:type="pct"/>
                  <w:tcBorders>
                    <w:tl2br w:val="nil"/>
                    <w:tr2bl w:val="nil"/>
                  </w:tcBorders>
                  <w:shd w:val="clear" w:color="auto" w:fill="auto"/>
                  <w:vAlign w:val="center"/>
                </w:tcPr>
                <w:p>
                  <w:pPr>
                    <w:pStyle w:val="53"/>
                    <w:widowControl/>
                    <w:spacing w:line="240" w:lineRule="auto"/>
                    <w:ind w:firstLine="0" w:firstLineChars="0"/>
                  </w:pPr>
                  <w:r>
                    <w:t>年平均质量浓度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65</w:t>
                  </w:r>
                </w:p>
              </w:tc>
              <w:tc>
                <w:tcPr>
                  <w:tcW w:w="856" w:type="pct"/>
                  <w:tcBorders>
                    <w:tl2br w:val="nil"/>
                    <w:tr2bl w:val="nil"/>
                  </w:tcBorders>
                  <w:shd w:val="clear" w:color="auto" w:fill="auto"/>
                  <w:vAlign w:val="center"/>
                </w:tcPr>
                <w:p>
                  <w:pPr>
                    <w:pStyle w:val="53"/>
                    <w:widowControl/>
                    <w:spacing w:line="240" w:lineRule="auto"/>
                    <w:ind w:firstLine="0" w:firstLineChars="0"/>
                  </w:pPr>
                  <w:r>
                    <w:t>70</w:t>
                  </w:r>
                </w:p>
              </w:tc>
              <w:tc>
                <w:tcPr>
                  <w:tcW w:w="856" w:type="pct"/>
                  <w:tcBorders>
                    <w:tl2br w:val="nil"/>
                    <w:tr2bl w:val="nil"/>
                  </w:tcBorders>
                  <w:shd w:val="clear" w:color="auto" w:fill="auto"/>
                  <w:vAlign w:val="center"/>
                </w:tcPr>
                <w:p>
                  <w:pPr>
                    <w:pStyle w:val="53"/>
                    <w:widowControl/>
                    <w:spacing w:line="240" w:lineRule="auto"/>
                    <w:ind w:firstLine="0" w:firstLineChars="0"/>
                  </w:pPr>
                  <w:r>
                    <w:t>92.9</w:t>
                  </w:r>
                </w:p>
              </w:tc>
              <w:tc>
                <w:tcPr>
                  <w:tcW w:w="781" w:type="pct"/>
                  <w:tcBorders>
                    <w:tl2br w:val="nil"/>
                    <w:tr2bl w:val="nil"/>
                  </w:tcBorders>
                  <w:shd w:val="clear" w:color="auto" w:fill="auto"/>
                  <w:vAlign w:val="center"/>
                </w:tcPr>
                <w:p>
                  <w:pPr>
                    <w:pStyle w:val="53"/>
                    <w:widowControl/>
                    <w:spacing w:line="240" w:lineRule="auto"/>
                    <w:ind w:firstLine="0" w:firstLineChars="0"/>
                  </w:pPr>
                  <w: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SO</w:t>
                  </w:r>
                  <w:r>
                    <w:rPr>
                      <w:b/>
                      <w:bCs/>
                      <w:vertAlign w:val="subscript"/>
                    </w:rPr>
                    <w:t>2</w:t>
                  </w:r>
                </w:p>
              </w:tc>
              <w:tc>
                <w:tcPr>
                  <w:tcW w:w="1349" w:type="pct"/>
                  <w:tcBorders>
                    <w:tl2br w:val="nil"/>
                    <w:tr2bl w:val="nil"/>
                  </w:tcBorders>
                  <w:shd w:val="clear" w:color="auto" w:fill="auto"/>
                  <w:vAlign w:val="center"/>
                </w:tcPr>
                <w:p>
                  <w:pPr>
                    <w:pStyle w:val="53"/>
                    <w:widowControl/>
                    <w:spacing w:line="240" w:lineRule="auto"/>
                    <w:ind w:firstLine="0" w:firstLineChars="0"/>
                  </w:pPr>
                  <w:r>
                    <w:t>年平均质量浓度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6</w:t>
                  </w:r>
                </w:p>
              </w:tc>
              <w:tc>
                <w:tcPr>
                  <w:tcW w:w="856" w:type="pct"/>
                  <w:tcBorders>
                    <w:tl2br w:val="nil"/>
                    <w:tr2bl w:val="nil"/>
                  </w:tcBorders>
                  <w:shd w:val="clear" w:color="auto" w:fill="auto"/>
                  <w:vAlign w:val="center"/>
                </w:tcPr>
                <w:p>
                  <w:pPr>
                    <w:pStyle w:val="53"/>
                    <w:widowControl/>
                    <w:spacing w:line="240" w:lineRule="auto"/>
                    <w:ind w:firstLine="0" w:firstLineChars="0"/>
                  </w:pPr>
                  <w:r>
                    <w:t>60</w:t>
                  </w:r>
                </w:p>
              </w:tc>
              <w:tc>
                <w:tcPr>
                  <w:tcW w:w="856" w:type="pct"/>
                  <w:tcBorders>
                    <w:tl2br w:val="nil"/>
                    <w:tr2bl w:val="nil"/>
                  </w:tcBorders>
                  <w:shd w:val="clear" w:color="auto" w:fill="auto"/>
                  <w:vAlign w:val="center"/>
                </w:tcPr>
                <w:p>
                  <w:pPr>
                    <w:pStyle w:val="53"/>
                    <w:widowControl/>
                    <w:spacing w:line="240" w:lineRule="auto"/>
                    <w:ind w:firstLine="0" w:firstLineChars="0"/>
                  </w:pPr>
                  <w:r>
                    <w:t>10</w:t>
                  </w:r>
                </w:p>
              </w:tc>
              <w:tc>
                <w:tcPr>
                  <w:tcW w:w="781" w:type="pct"/>
                  <w:tcBorders>
                    <w:tl2br w:val="nil"/>
                    <w:tr2bl w:val="nil"/>
                  </w:tcBorders>
                  <w:shd w:val="clear" w:color="auto" w:fill="auto"/>
                  <w:vAlign w:val="center"/>
                </w:tcPr>
                <w:p>
                  <w:pPr>
                    <w:pStyle w:val="53"/>
                    <w:widowControl/>
                    <w:spacing w:line="240" w:lineRule="auto"/>
                    <w:ind w:firstLine="0" w:firstLineChars="0"/>
                  </w:pPr>
                  <w: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NO</w:t>
                  </w:r>
                  <w:r>
                    <w:rPr>
                      <w:b/>
                      <w:bCs/>
                      <w:vertAlign w:val="subscript"/>
                    </w:rPr>
                    <w:t>2</w:t>
                  </w:r>
                </w:p>
              </w:tc>
              <w:tc>
                <w:tcPr>
                  <w:tcW w:w="1349" w:type="pct"/>
                  <w:tcBorders>
                    <w:tl2br w:val="nil"/>
                    <w:tr2bl w:val="nil"/>
                  </w:tcBorders>
                  <w:shd w:val="clear" w:color="auto" w:fill="auto"/>
                  <w:vAlign w:val="center"/>
                </w:tcPr>
                <w:p>
                  <w:pPr>
                    <w:pStyle w:val="53"/>
                    <w:widowControl/>
                    <w:spacing w:line="240" w:lineRule="auto"/>
                    <w:ind w:firstLine="0" w:firstLineChars="0"/>
                  </w:pPr>
                  <w:r>
                    <w:t>年平均质量浓度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12</w:t>
                  </w:r>
                </w:p>
              </w:tc>
              <w:tc>
                <w:tcPr>
                  <w:tcW w:w="856" w:type="pct"/>
                  <w:tcBorders>
                    <w:tl2br w:val="nil"/>
                    <w:tr2bl w:val="nil"/>
                  </w:tcBorders>
                  <w:shd w:val="clear" w:color="auto" w:fill="auto"/>
                  <w:vAlign w:val="center"/>
                </w:tcPr>
                <w:p>
                  <w:pPr>
                    <w:pStyle w:val="53"/>
                    <w:widowControl/>
                    <w:spacing w:line="240" w:lineRule="auto"/>
                    <w:ind w:firstLine="0" w:firstLineChars="0"/>
                  </w:pPr>
                  <w:r>
                    <w:t>40</w:t>
                  </w:r>
                </w:p>
              </w:tc>
              <w:tc>
                <w:tcPr>
                  <w:tcW w:w="856" w:type="pct"/>
                  <w:tcBorders>
                    <w:tl2br w:val="nil"/>
                    <w:tr2bl w:val="nil"/>
                  </w:tcBorders>
                  <w:shd w:val="clear" w:color="auto" w:fill="auto"/>
                  <w:vAlign w:val="center"/>
                </w:tcPr>
                <w:p>
                  <w:pPr>
                    <w:pStyle w:val="53"/>
                    <w:widowControl/>
                    <w:spacing w:line="240" w:lineRule="auto"/>
                    <w:ind w:firstLine="0" w:firstLineChars="0"/>
                  </w:pPr>
                  <w:r>
                    <w:t>30</w:t>
                  </w:r>
                </w:p>
              </w:tc>
              <w:tc>
                <w:tcPr>
                  <w:tcW w:w="781" w:type="pct"/>
                  <w:tcBorders>
                    <w:tl2br w:val="nil"/>
                    <w:tr2bl w:val="nil"/>
                  </w:tcBorders>
                  <w:shd w:val="clear" w:color="auto" w:fill="auto"/>
                  <w:vAlign w:val="center"/>
                </w:tcPr>
                <w:p>
                  <w:pPr>
                    <w:pStyle w:val="53"/>
                    <w:widowControl/>
                    <w:spacing w:line="240" w:lineRule="auto"/>
                    <w:ind w:firstLine="0" w:firstLineChars="0"/>
                  </w:pPr>
                  <w: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CO</w:t>
                  </w:r>
                </w:p>
              </w:tc>
              <w:tc>
                <w:tcPr>
                  <w:tcW w:w="1349" w:type="pct"/>
                  <w:tcBorders>
                    <w:tl2br w:val="nil"/>
                    <w:tr2bl w:val="nil"/>
                  </w:tcBorders>
                  <w:shd w:val="clear" w:color="auto" w:fill="auto"/>
                  <w:vAlign w:val="center"/>
                </w:tcPr>
                <w:p>
                  <w:pPr>
                    <w:pStyle w:val="53"/>
                    <w:widowControl/>
                    <w:spacing w:line="240" w:lineRule="auto"/>
                    <w:ind w:firstLine="0" w:firstLineChars="0"/>
                  </w:pPr>
                  <w:r>
                    <w:t>百分之95位数</w:t>
                  </w:r>
                </w:p>
                <w:p>
                  <w:pPr>
                    <w:pStyle w:val="53"/>
                    <w:widowControl/>
                    <w:spacing w:line="240" w:lineRule="auto"/>
                    <w:ind w:firstLine="0" w:firstLineChars="0"/>
                  </w:pPr>
                  <w:r>
                    <w:t>日平均质量浓度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1300</w:t>
                  </w:r>
                </w:p>
              </w:tc>
              <w:tc>
                <w:tcPr>
                  <w:tcW w:w="856" w:type="pct"/>
                  <w:tcBorders>
                    <w:tl2br w:val="nil"/>
                    <w:tr2bl w:val="nil"/>
                  </w:tcBorders>
                  <w:shd w:val="clear" w:color="auto" w:fill="auto"/>
                  <w:vAlign w:val="center"/>
                </w:tcPr>
                <w:p>
                  <w:pPr>
                    <w:pStyle w:val="53"/>
                    <w:widowControl/>
                    <w:spacing w:line="240" w:lineRule="auto"/>
                    <w:ind w:firstLine="0" w:firstLineChars="0"/>
                  </w:pPr>
                  <w:r>
                    <w:t>4000</w:t>
                  </w:r>
                </w:p>
              </w:tc>
              <w:tc>
                <w:tcPr>
                  <w:tcW w:w="856" w:type="pct"/>
                  <w:tcBorders>
                    <w:tl2br w:val="nil"/>
                    <w:tr2bl w:val="nil"/>
                  </w:tcBorders>
                  <w:shd w:val="clear" w:color="auto" w:fill="auto"/>
                  <w:vAlign w:val="center"/>
                </w:tcPr>
                <w:p>
                  <w:pPr>
                    <w:pStyle w:val="53"/>
                    <w:widowControl/>
                    <w:spacing w:line="240" w:lineRule="auto"/>
                    <w:ind w:firstLine="0" w:firstLineChars="0"/>
                  </w:pPr>
                  <w:r>
                    <w:t>32.5</w:t>
                  </w:r>
                </w:p>
              </w:tc>
              <w:tc>
                <w:tcPr>
                  <w:tcW w:w="781" w:type="pct"/>
                  <w:tcBorders>
                    <w:tl2br w:val="nil"/>
                    <w:tr2bl w:val="nil"/>
                  </w:tcBorders>
                  <w:shd w:val="clear" w:color="auto" w:fill="auto"/>
                  <w:vAlign w:val="center"/>
                </w:tcPr>
                <w:p>
                  <w:pPr>
                    <w:pStyle w:val="53"/>
                    <w:widowControl/>
                    <w:spacing w:line="240" w:lineRule="auto"/>
                    <w:ind w:firstLine="0" w:firstLineChars="0"/>
                  </w:pPr>
                  <w: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75" w:type="pct"/>
                  <w:tcBorders>
                    <w:tl2br w:val="nil"/>
                    <w:tr2bl w:val="nil"/>
                  </w:tcBorders>
                  <w:shd w:val="clear" w:color="auto" w:fill="auto"/>
                  <w:vAlign w:val="center"/>
                </w:tcPr>
                <w:p>
                  <w:pPr>
                    <w:pStyle w:val="53"/>
                    <w:widowControl/>
                    <w:spacing w:line="240" w:lineRule="auto"/>
                    <w:ind w:firstLine="0" w:firstLineChars="0"/>
                    <w:rPr>
                      <w:b/>
                      <w:bCs/>
                    </w:rPr>
                  </w:pPr>
                  <w:r>
                    <w:rPr>
                      <w:b/>
                      <w:bCs/>
                    </w:rPr>
                    <w:t>O</w:t>
                  </w:r>
                  <w:r>
                    <w:rPr>
                      <w:b/>
                      <w:bCs/>
                      <w:vertAlign w:val="subscript"/>
                    </w:rPr>
                    <w:t>3</w:t>
                  </w:r>
                </w:p>
              </w:tc>
              <w:tc>
                <w:tcPr>
                  <w:tcW w:w="1349" w:type="pct"/>
                  <w:tcBorders>
                    <w:tl2br w:val="nil"/>
                    <w:tr2bl w:val="nil"/>
                  </w:tcBorders>
                  <w:shd w:val="clear" w:color="auto" w:fill="auto"/>
                  <w:vAlign w:val="center"/>
                </w:tcPr>
                <w:p>
                  <w:pPr>
                    <w:pStyle w:val="53"/>
                    <w:widowControl/>
                    <w:spacing w:line="240" w:lineRule="auto"/>
                    <w:ind w:firstLine="0" w:firstLineChars="0"/>
                  </w:pPr>
                  <w:r>
                    <w:t>百分之90位数日最大8小时平均质量浓度</w:t>
                  </w:r>
                </w:p>
              </w:tc>
              <w:tc>
                <w:tcPr>
                  <w:tcW w:w="680" w:type="pct"/>
                  <w:tcBorders>
                    <w:tl2br w:val="nil"/>
                    <w:tr2bl w:val="nil"/>
                  </w:tcBorders>
                  <w:shd w:val="clear" w:color="auto" w:fill="auto"/>
                  <w:vAlign w:val="center"/>
                </w:tcPr>
                <w:p>
                  <w:pPr>
                    <w:pStyle w:val="53"/>
                    <w:widowControl/>
                    <w:spacing w:line="240" w:lineRule="auto"/>
                    <w:ind w:firstLine="0" w:firstLineChars="0"/>
                  </w:pPr>
                  <w:r>
                    <w:t>116</w:t>
                  </w:r>
                </w:p>
              </w:tc>
              <w:tc>
                <w:tcPr>
                  <w:tcW w:w="856" w:type="pct"/>
                  <w:tcBorders>
                    <w:tl2br w:val="nil"/>
                    <w:tr2bl w:val="nil"/>
                  </w:tcBorders>
                  <w:shd w:val="clear" w:color="auto" w:fill="auto"/>
                  <w:vAlign w:val="center"/>
                </w:tcPr>
                <w:p>
                  <w:pPr>
                    <w:pStyle w:val="53"/>
                    <w:widowControl/>
                    <w:spacing w:line="240" w:lineRule="auto"/>
                    <w:ind w:firstLine="0" w:firstLineChars="0"/>
                  </w:pPr>
                  <w:r>
                    <w:t>160</w:t>
                  </w:r>
                </w:p>
              </w:tc>
              <w:tc>
                <w:tcPr>
                  <w:tcW w:w="856" w:type="pct"/>
                  <w:tcBorders>
                    <w:tl2br w:val="nil"/>
                    <w:tr2bl w:val="nil"/>
                  </w:tcBorders>
                  <w:shd w:val="clear" w:color="auto" w:fill="auto"/>
                  <w:vAlign w:val="center"/>
                </w:tcPr>
                <w:p>
                  <w:pPr>
                    <w:pStyle w:val="53"/>
                    <w:widowControl/>
                    <w:spacing w:line="240" w:lineRule="auto"/>
                    <w:ind w:firstLine="0" w:firstLineChars="0"/>
                  </w:pPr>
                  <w:r>
                    <w:t>72.5</w:t>
                  </w:r>
                </w:p>
              </w:tc>
              <w:tc>
                <w:tcPr>
                  <w:tcW w:w="781" w:type="pct"/>
                  <w:tcBorders>
                    <w:tl2br w:val="nil"/>
                    <w:tr2bl w:val="nil"/>
                  </w:tcBorders>
                  <w:shd w:val="clear" w:color="auto" w:fill="auto"/>
                  <w:vAlign w:val="center"/>
                </w:tcPr>
                <w:p>
                  <w:pPr>
                    <w:pStyle w:val="53"/>
                    <w:widowControl/>
                    <w:spacing w:line="240" w:lineRule="auto"/>
                    <w:ind w:firstLine="0" w:firstLineChars="0"/>
                  </w:pPr>
                  <w:r>
                    <w:t>达标</w:t>
                  </w:r>
                </w:p>
              </w:tc>
            </w:tr>
          </w:tbl>
          <w:p>
            <w:pPr>
              <w:ind w:firstLine="560"/>
              <w:jc w:val="both"/>
            </w:pPr>
            <w:r>
              <w:t>如表可知桃江县O</w:t>
            </w:r>
            <w:r>
              <w:rPr>
                <w:vertAlign w:val="subscript"/>
              </w:rPr>
              <w:t>3</w:t>
            </w:r>
            <w:r>
              <w:t>、NO</w:t>
            </w:r>
            <w:r>
              <w:rPr>
                <w:vertAlign w:val="subscript"/>
              </w:rPr>
              <w:t>2</w:t>
            </w:r>
            <w:r>
              <w:t>、SO</w:t>
            </w:r>
            <w:r>
              <w:rPr>
                <w:vertAlign w:val="subscript"/>
              </w:rPr>
              <w:t>2</w:t>
            </w:r>
            <w:r>
              <w:t>、PM</w:t>
            </w:r>
            <w:r>
              <w:rPr>
                <w:vertAlign w:val="subscript"/>
              </w:rPr>
              <w:t>10</w:t>
            </w:r>
            <w:r>
              <w:t>和CO满足《环境空气质量标准》（GB3095-2012）中的二级标准限值，PM</w:t>
            </w:r>
            <w:r>
              <w:rPr>
                <w:vertAlign w:val="subscript"/>
              </w:rPr>
              <w:t>2.5</w:t>
            </w:r>
            <w:r>
              <w:t>不达标，因此项目所在区域为不达标区。主要不达标因子为PM</w:t>
            </w:r>
            <w:r>
              <w:rPr>
                <w:vertAlign w:val="subscript"/>
              </w:rPr>
              <w:t>2.5</w:t>
            </w:r>
            <w:r>
              <w:t>，不是本项目的主要产污因子。主要原因为桃江城区土建施工活动产生的扬尘量较大，后期随着《益阳市大气污染防治“蓝天保卫战”三年行动计划</w:t>
            </w:r>
            <w:r>
              <w:rPr>
                <w:rFonts w:hint="eastAsia"/>
              </w:rPr>
              <w:t>（2018~2020）</w:t>
            </w:r>
            <w:r>
              <w:t>》的实施，城区的PM</w:t>
            </w:r>
            <w:r>
              <w:rPr>
                <w:vertAlign w:val="subscript"/>
              </w:rPr>
              <w:t>10</w:t>
            </w:r>
            <w:r>
              <w:t>、PM</w:t>
            </w:r>
            <w:r>
              <w:rPr>
                <w:vertAlign w:val="subscript"/>
              </w:rPr>
              <w:t>2.5</w:t>
            </w:r>
            <w:r>
              <w:t>浓度将逐渐减小，区域环境空气质量将</w:t>
            </w:r>
            <w:r>
              <w:rPr>
                <w:rFonts w:hint="eastAsia"/>
              </w:rPr>
              <w:t>得到改善</w:t>
            </w:r>
            <w:r>
              <w:t>。</w:t>
            </w:r>
          </w:p>
          <w:p>
            <w:pPr>
              <w:ind w:firstLine="560"/>
              <w:jc w:val="both"/>
            </w:pPr>
            <w:r>
              <w:t>（2）区域环境质量现状</w:t>
            </w:r>
          </w:p>
          <w:p>
            <w:pPr>
              <w:ind w:firstLine="560"/>
              <w:jc w:val="both"/>
            </w:pPr>
            <w:r>
              <w:t>为了解区域环境空气质量情况，2020年9月16日至9月22日由湖南谱实检测技术有限公司对本项目所在地的大气环境现状进行了为期7天的现状监测。</w:t>
            </w:r>
          </w:p>
          <w:p>
            <w:pPr>
              <w:ind w:firstLine="560"/>
              <w:jc w:val="both"/>
            </w:pPr>
            <w:r>
              <w:t>1）监测点位</w:t>
            </w:r>
          </w:p>
          <w:p>
            <w:pPr>
              <w:spacing w:line="240" w:lineRule="auto"/>
              <w:ind w:firstLine="422"/>
              <w:jc w:val="center"/>
              <w:rPr>
                <w:b/>
                <w:color w:val="000000"/>
                <w:sz w:val="21"/>
              </w:rPr>
            </w:pPr>
            <w:r>
              <w:rPr>
                <w:b/>
                <w:color w:val="000000"/>
                <w:sz w:val="21"/>
              </w:rPr>
              <w:t>表3-1</w:t>
            </w:r>
            <w:r>
              <w:rPr>
                <w:rFonts w:hint="eastAsia"/>
                <w:b/>
                <w:color w:val="000000"/>
                <w:sz w:val="21"/>
              </w:rPr>
              <w:t xml:space="preserve"> </w:t>
            </w:r>
            <w:r>
              <w:rPr>
                <w:b/>
                <w:color w:val="000000"/>
                <w:sz w:val="21"/>
              </w:rPr>
              <w:t>污染物补充监测点位基本信息</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45"/>
              <w:gridCol w:w="1737"/>
              <w:gridCol w:w="819"/>
              <w:gridCol w:w="1503"/>
              <w:gridCol w:w="850"/>
              <w:gridCol w:w="10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04" w:type="pct"/>
                  <w:vMerge w:val="restar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监测点</w:t>
                  </w:r>
                </w:p>
                <w:p>
                  <w:pPr>
                    <w:spacing w:line="240" w:lineRule="auto"/>
                    <w:ind w:firstLine="0" w:firstLineChars="0"/>
                    <w:jc w:val="center"/>
                    <w:rPr>
                      <w:b/>
                      <w:bCs/>
                      <w:color w:val="000000"/>
                      <w:sz w:val="21"/>
                    </w:rPr>
                  </w:pPr>
                  <w:r>
                    <w:rPr>
                      <w:b/>
                      <w:bCs/>
                      <w:color w:val="000000"/>
                      <w:sz w:val="21"/>
                    </w:rPr>
                    <w:t>名称</w:t>
                  </w:r>
                </w:p>
              </w:tc>
              <w:tc>
                <w:tcPr>
                  <w:tcW w:w="2023" w:type="pct"/>
                  <w:gridSpan w:val="2"/>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坐标/m</w:t>
                  </w:r>
                </w:p>
              </w:tc>
              <w:tc>
                <w:tcPr>
                  <w:tcW w:w="476" w:type="pct"/>
                  <w:vMerge w:val="restar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监测</w:t>
                  </w:r>
                </w:p>
                <w:p>
                  <w:pPr>
                    <w:spacing w:line="240" w:lineRule="auto"/>
                    <w:ind w:firstLine="0" w:firstLineChars="0"/>
                    <w:jc w:val="center"/>
                    <w:rPr>
                      <w:b/>
                      <w:bCs/>
                      <w:color w:val="000000"/>
                      <w:sz w:val="21"/>
                    </w:rPr>
                  </w:pPr>
                  <w:r>
                    <w:rPr>
                      <w:b/>
                      <w:bCs/>
                      <w:color w:val="000000"/>
                      <w:sz w:val="21"/>
                    </w:rPr>
                    <w:t>因子</w:t>
                  </w:r>
                </w:p>
              </w:tc>
              <w:tc>
                <w:tcPr>
                  <w:tcW w:w="874" w:type="pct"/>
                  <w:vMerge w:val="restar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监测时段</w:t>
                  </w:r>
                </w:p>
              </w:tc>
              <w:tc>
                <w:tcPr>
                  <w:tcW w:w="494" w:type="pct"/>
                  <w:vMerge w:val="restar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相对厂址方位</w:t>
                  </w:r>
                </w:p>
              </w:tc>
              <w:tc>
                <w:tcPr>
                  <w:tcW w:w="627" w:type="pct"/>
                  <w:vMerge w:val="restar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相对站区距离/m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04" w:type="pct"/>
                  <w:vMerge w:val="continue"/>
                  <w:tcBorders>
                    <w:tl2br w:val="nil"/>
                    <w:tr2bl w:val="nil"/>
                  </w:tcBorders>
                  <w:shd w:val="clear" w:color="auto" w:fill="auto"/>
                  <w:vAlign w:val="center"/>
                </w:tcPr>
                <w:p>
                  <w:pPr>
                    <w:spacing w:line="240" w:lineRule="auto"/>
                    <w:ind w:firstLine="0" w:firstLineChars="0"/>
                    <w:jc w:val="both"/>
                    <w:rPr>
                      <w:sz w:val="21"/>
                    </w:rPr>
                  </w:pPr>
                </w:p>
              </w:tc>
              <w:tc>
                <w:tcPr>
                  <w:tcW w:w="1014"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X</w:t>
                  </w:r>
                </w:p>
              </w:tc>
              <w:tc>
                <w:tcPr>
                  <w:tcW w:w="1008"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Y</w:t>
                  </w:r>
                </w:p>
              </w:tc>
              <w:tc>
                <w:tcPr>
                  <w:tcW w:w="476" w:type="pct"/>
                  <w:vMerge w:val="continue"/>
                  <w:tcBorders>
                    <w:tl2br w:val="nil"/>
                    <w:tr2bl w:val="nil"/>
                  </w:tcBorders>
                  <w:shd w:val="clear" w:color="auto" w:fill="auto"/>
                  <w:vAlign w:val="center"/>
                </w:tcPr>
                <w:p>
                  <w:pPr>
                    <w:spacing w:line="240" w:lineRule="auto"/>
                    <w:ind w:firstLine="0" w:firstLineChars="0"/>
                    <w:jc w:val="both"/>
                    <w:rPr>
                      <w:sz w:val="21"/>
                    </w:rPr>
                  </w:pPr>
                </w:p>
              </w:tc>
              <w:tc>
                <w:tcPr>
                  <w:tcW w:w="874" w:type="pct"/>
                  <w:vMerge w:val="continue"/>
                  <w:tcBorders>
                    <w:tl2br w:val="nil"/>
                    <w:tr2bl w:val="nil"/>
                  </w:tcBorders>
                  <w:shd w:val="clear" w:color="auto" w:fill="auto"/>
                  <w:vAlign w:val="center"/>
                </w:tcPr>
                <w:p>
                  <w:pPr>
                    <w:spacing w:line="240" w:lineRule="auto"/>
                    <w:ind w:firstLine="0" w:firstLineChars="0"/>
                    <w:jc w:val="both"/>
                    <w:rPr>
                      <w:sz w:val="21"/>
                    </w:rPr>
                  </w:pPr>
                </w:p>
              </w:tc>
              <w:tc>
                <w:tcPr>
                  <w:tcW w:w="494" w:type="pct"/>
                  <w:vMerge w:val="continue"/>
                  <w:tcBorders>
                    <w:tl2br w:val="nil"/>
                    <w:tr2bl w:val="nil"/>
                  </w:tcBorders>
                  <w:shd w:val="clear" w:color="auto" w:fill="auto"/>
                  <w:vAlign w:val="center"/>
                </w:tcPr>
                <w:p>
                  <w:pPr>
                    <w:spacing w:line="240" w:lineRule="auto"/>
                    <w:ind w:firstLine="0" w:firstLineChars="0"/>
                    <w:jc w:val="both"/>
                    <w:rPr>
                      <w:sz w:val="21"/>
                    </w:rPr>
                  </w:pPr>
                </w:p>
              </w:tc>
              <w:tc>
                <w:tcPr>
                  <w:tcW w:w="627" w:type="pct"/>
                  <w:vMerge w:val="continue"/>
                  <w:tcBorders>
                    <w:tl2br w:val="nil"/>
                    <w:tr2bl w:val="nil"/>
                  </w:tcBorders>
                  <w:shd w:val="clear" w:color="auto" w:fill="auto"/>
                  <w:vAlign w:val="center"/>
                </w:tcPr>
                <w:p>
                  <w:pPr>
                    <w:spacing w:line="240" w:lineRule="auto"/>
                    <w:ind w:firstLine="0" w:firstLineChars="0"/>
                    <w:jc w:val="both"/>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504" w:type="pct"/>
                  <w:tcBorders>
                    <w:tl2br w:val="nil"/>
                    <w:tr2bl w:val="nil"/>
                  </w:tcBorders>
                  <w:shd w:val="clear" w:color="auto" w:fill="auto"/>
                  <w:vAlign w:val="center"/>
                </w:tcPr>
                <w:p>
                  <w:pPr>
                    <w:spacing w:line="240" w:lineRule="auto"/>
                    <w:ind w:firstLine="0" w:firstLineChars="0"/>
                    <w:jc w:val="left"/>
                    <w:rPr>
                      <w:color w:val="000000"/>
                      <w:sz w:val="21"/>
                    </w:rPr>
                  </w:pPr>
                  <w:r>
                    <w:rPr>
                      <w:b/>
                      <w:bCs/>
                      <w:color w:val="000000"/>
                      <w:sz w:val="21"/>
                    </w:rPr>
                    <w:t>G1桃江二中</w:t>
                  </w:r>
                </w:p>
              </w:tc>
              <w:tc>
                <w:tcPr>
                  <w:tcW w:w="1014"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111°48′54.66837″</w:t>
                  </w:r>
                </w:p>
              </w:tc>
              <w:tc>
                <w:tcPr>
                  <w:tcW w:w="100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28°30′45.55083″</w:t>
                  </w:r>
                </w:p>
              </w:tc>
              <w:tc>
                <w:tcPr>
                  <w:tcW w:w="47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TVOC</w:t>
                  </w:r>
                </w:p>
              </w:tc>
              <w:tc>
                <w:tcPr>
                  <w:tcW w:w="874"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8小时均值，连续监测7天</w:t>
                  </w:r>
                </w:p>
              </w:tc>
              <w:tc>
                <w:tcPr>
                  <w:tcW w:w="494"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东北</w:t>
                  </w:r>
                </w:p>
              </w:tc>
              <w:tc>
                <w:tcPr>
                  <w:tcW w:w="6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340m</w:t>
                  </w:r>
                </w:p>
              </w:tc>
            </w:tr>
          </w:tbl>
          <w:p>
            <w:pPr>
              <w:ind w:firstLine="560"/>
              <w:jc w:val="both"/>
            </w:pPr>
            <w:r>
              <w:t>2）监测方法</w:t>
            </w:r>
          </w:p>
          <w:p>
            <w:pPr>
              <w:ind w:firstLine="560"/>
              <w:jc w:val="both"/>
            </w:pPr>
            <w:r>
              <w:t>监测方法见下表。</w:t>
            </w:r>
          </w:p>
          <w:p>
            <w:pPr>
              <w:spacing w:line="240" w:lineRule="auto"/>
              <w:ind w:firstLine="422"/>
              <w:jc w:val="center"/>
              <w:rPr>
                <w:b/>
                <w:color w:val="000000"/>
                <w:sz w:val="21"/>
              </w:rPr>
            </w:pPr>
            <w:r>
              <w:rPr>
                <w:b/>
                <w:color w:val="000000"/>
                <w:sz w:val="21"/>
              </w:rPr>
              <w:t>表3-2</w:t>
            </w:r>
            <w:r>
              <w:rPr>
                <w:rFonts w:hint="eastAsia"/>
                <w:b/>
                <w:color w:val="000000"/>
                <w:sz w:val="21"/>
              </w:rPr>
              <w:t xml:space="preserve"> </w:t>
            </w:r>
            <w:r>
              <w:rPr>
                <w:b/>
                <w:color w:val="000000"/>
                <w:sz w:val="21"/>
              </w:rPr>
              <w:t>污染物补充监测方法</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823"/>
              <w:gridCol w:w="3979"/>
              <w:gridCol w:w="18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524"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序号</w:t>
                  </w:r>
                </w:p>
              </w:tc>
              <w:tc>
                <w:tcPr>
                  <w:tcW w:w="1059"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检测项目</w:t>
                  </w:r>
                </w:p>
              </w:tc>
              <w:tc>
                <w:tcPr>
                  <w:tcW w:w="2312"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分析方法</w:t>
                  </w:r>
                </w:p>
              </w:tc>
              <w:tc>
                <w:tcPr>
                  <w:tcW w:w="1103" w:type="pct"/>
                  <w:tcBorders>
                    <w:tl2br w:val="nil"/>
                    <w:tr2bl w:val="nil"/>
                  </w:tcBorders>
                  <w:shd w:val="clear" w:color="auto" w:fill="auto"/>
                  <w:vAlign w:val="center"/>
                </w:tcPr>
                <w:p>
                  <w:pPr>
                    <w:spacing w:line="240" w:lineRule="auto"/>
                    <w:ind w:firstLine="0" w:firstLineChars="0"/>
                    <w:jc w:val="center"/>
                    <w:rPr>
                      <w:b/>
                      <w:bCs/>
                      <w:color w:val="000000"/>
                      <w:sz w:val="21"/>
                    </w:rPr>
                  </w:pPr>
                  <w:r>
                    <w:rPr>
                      <w:b/>
                      <w:bCs/>
                      <w:color w:val="000000"/>
                      <w:sz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24" w:type="pct"/>
                  <w:tcBorders>
                    <w:tl2br w:val="nil"/>
                    <w:tr2bl w:val="nil"/>
                  </w:tcBorders>
                  <w:shd w:val="clear" w:color="auto" w:fill="auto"/>
                  <w:vAlign w:val="center"/>
                </w:tcPr>
                <w:p>
                  <w:pPr>
                    <w:spacing w:line="240" w:lineRule="auto"/>
                    <w:ind w:firstLine="0" w:firstLineChars="0"/>
                    <w:jc w:val="center"/>
                    <w:rPr>
                      <w:color w:val="000000"/>
                      <w:sz w:val="21"/>
                    </w:rPr>
                  </w:pPr>
                  <w:r>
                    <w:rPr>
                      <w:b/>
                      <w:bCs/>
                      <w:color w:val="000000"/>
                      <w:sz w:val="21"/>
                    </w:rPr>
                    <w:t>1</w:t>
                  </w:r>
                </w:p>
              </w:tc>
              <w:tc>
                <w:tcPr>
                  <w:tcW w:w="105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TVOC</w:t>
                  </w:r>
                </w:p>
              </w:tc>
              <w:tc>
                <w:tcPr>
                  <w:tcW w:w="231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吸附管采样-热脱附/气相色谱-质谱法</w:t>
                  </w:r>
                </w:p>
              </w:tc>
              <w:tc>
                <w:tcPr>
                  <w:tcW w:w="1103" w:type="pct"/>
                  <w:tcBorders>
                    <w:tl2br w:val="nil"/>
                    <w:tr2bl w:val="nil"/>
                  </w:tcBorders>
                  <w:shd w:val="clear" w:color="auto" w:fill="auto"/>
                  <w:vAlign w:val="center"/>
                </w:tcPr>
                <w:p>
                  <w:pPr>
                    <w:spacing w:line="240" w:lineRule="auto"/>
                    <w:ind w:firstLine="0" w:firstLineChars="0"/>
                    <w:jc w:val="center"/>
                    <w:rPr>
                      <w:color w:val="000000"/>
                      <w:sz w:val="21"/>
                      <w:vertAlign w:val="superscript"/>
                    </w:rPr>
                  </w:pPr>
                  <w:r>
                    <w:rPr>
                      <w:color w:val="000000"/>
                      <w:sz w:val="21"/>
                    </w:rPr>
                    <w:t>0.0003mg/m</w:t>
                  </w:r>
                  <w:r>
                    <w:rPr>
                      <w:color w:val="000000"/>
                      <w:sz w:val="21"/>
                      <w:vertAlign w:val="superscript"/>
                    </w:rPr>
                    <w:t>3</w:t>
                  </w:r>
                </w:p>
              </w:tc>
            </w:tr>
          </w:tbl>
          <w:p>
            <w:pPr>
              <w:ind w:firstLine="560"/>
              <w:jc w:val="both"/>
            </w:pPr>
            <w:r>
              <w:t>3）评价标准和方法</w:t>
            </w:r>
          </w:p>
          <w:p>
            <w:pPr>
              <w:ind w:firstLine="560"/>
              <w:jc w:val="both"/>
            </w:pPr>
            <w:r>
              <w:t>TVOC评价标准采用《环境影响评价技术导则 大气环境》（HJ2.2-2018）附录D中TVOC 8h平均浓度限值。评价方法采用对标法。</w:t>
            </w:r>
          </w:p>
          <w:p>
            <w:pPr>
              <w:ind w:firstLine="560"/>
              <w:jc w:val="both"/>
            </w:pPr>
            <w:r>
              <w:t>4）监测结果及评价</w:t>
            </w:r>
          </w:p>
          <w:p>
            <w:pPr>
              <w:ind w:firstLine="560"/>
              <w:jc w:val="both"/>
            </w:pPr>
            <w:r>
              <w:t>a)监测期间气象条件</w:t>
            </w:r>
          </w:p>
          <w:p>
            <w:pPr>
              <w:spacing w:line="240" w:lineRule="auto"/>
              <w:ind w:firstLine="422"/>
              <w:jc w:val="center"/>
              <w:rPr>
                <w:b/>
                <w:color w:val="000000"/>
                <w:sz w:val="21"/>
              </w:rPr>
            </w:pPr>
            <w:r>
              <w:rPr>
                <w:b/>
                <w:color w:val="000000"/>
                <w:sz w:val="21"/>
              </w:rPr>
              <w:t>表3-3</w:t>
            </w:r>
            <w:r>
              <w:rPr>
                <w:rFonts w:hint="eastAsia"/>
                <w:b/>
                <w:color w:val="000000"/>
                <w:sz w:val="21"/>
              </w:rPr>
              <w:t xml:space="preserve"> </w:t>
            </w:r>
            <w:r>
              <w:rPr>
                <w:b/>
                <w:color w:val="000000"/>
                <w:sz w:val="21"/>
              </w:rPr>
              <w:t>监测期间气象条件</w:t>
            </w:r>
          </w:p>
          <w:tbl>
            <w:tblPr>
              <w:tblStyle w:val="27"/>
              <w:tblW w:w="0" w:type="auto"/>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020"/>
              <w:gridCol w:w="1020"/>
              <w:gridCol w:w="1020"/>
              <w:gridCol w:w="1020"/>
              <w:gridCol w:w="1020"/>
              <w:gridCol w:w="1020"/>
              <w:gridCol w:w="10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气象参数</w:t>
                  </w:r>
                </w:p>
              </w:tc>
              <w:tc>
                <w:tcPr>
                  <w:tcW w:w="7144" w:type="dxa"/>
                  <w:gridSpan w:val="7"/>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vMerge w:val="continue"/>
                  <w:tcBorders>
                    <w:tl2br w:val="nil"/>
                    <w:tr2bl w:val="nil"/>
                  </w:tcBorders>
                  <w:vAlign w:val="center"/>
                </w:tcPr>
                <w:p>
                  <w:pPr>
                    <w:pStyle w:val="25"/>
                    <w:spacing w:after="0" w:line="240" w:lineRule="auto"/>
                    <w:ind w:left="0" w:leftChars="0" w:firstLine="0" w:firstLineChars="0"/>
                    <w:jc w:val="center"/>
                    <w:rPr>
                      <w:b/>
                      <w:bCs/>
                      <w:sz w:val="21"/>
                      <w:szCs w:val="21"/>
                    </w:rPr>
                  </w:pP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9.16</w:t>
                  </w: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9.17</w:t>
                  </w: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9.18</w:t>
                  </w: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9.19</w:t>
                  </w: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9.20</w:t>
                  </w:r>
                </w:p>
              </w:tc>
              <w:tc>
                <w:tcPr>
                  <w:tcW w:w="102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9.21</w:t>
                  </w:r>
                </w:p>
              </w:tc>
              <w:tc>
                <w:tcPr>
                  <w:tcW w:w="1024"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43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天气</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晴</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阴</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 xml:space="preserve">阴 </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 xml:space="preserve">阴 </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 xml:space="preserve">阴 </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 xml:space="preserve">阴 </w:t>
                  </w:r>
                </w:p>
              </w:tc>
              <w:tc>
                <w:tcPr>
                  <w:tcW w:w="1024"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 xml:space="preserve">阴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气温（℃）</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23.5</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21.2</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19.7</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20.1</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17.7</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20.6</w:t>
                  </w:r>
                </w:p>
              </w:tc>
              <w:tc>
                <w:tcPr>
                  <w:tcW w:w="1024"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24.7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气压（KPa）</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101.1</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101.6</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102.3</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101.8</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102.5</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101.4</w:t>
                  </w:r>
                </w:p>
              </w:tc>
              <w:tc>
                <w:tcPr>
                  <w:tcW w:w="1024"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风向</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北</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西北</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西北</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西北</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西北</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西北</w:t>
                  </w:r>
                </w:p>
              </w:tc>
              <w:tc>
                <w:tcPr>
                  <w:tcW w:w="1024"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0" w:type="dxa"/>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风速（m/s）</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1.1</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1.3</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1.2</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1.4</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1.5</w:t>
                  </w:r>
                </w:p>
              </w:tc>
              <w:tc>
                <w:tcPr>
                  <w:tcW w:w="1020"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1.6</w:t>
                  </w:r>
                </w:p>
              </w:tc>
              <w:tc>
                <w:tcPr>
                  <w:tcW w:w="1024" w:type="dxa"/>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1.4</w:t>
                  </w:r>
                </w:p>
              </w:tc>
            </w:tr>
          </w:tbl>
          <w:p>
            <w:pPr>
              <w:ind w:firstLine="560"/>
              <w:jc w:val="both"/>
            </w:pPr>
            <w:r>
              <w:t>b)监测结果统计及评价</w:t>
            </w:r>
          </w:p>
          <w:p>
            <w:pPr>
              <w:ind w:firstLine="560"/>
              <w:jc w:val="both"/>
            </w:pPr>
            <w:r>
              <w:rPr>
                <w:rFonts w:hint="eastAsia"/>
              </w:rPr>
              <w:t>环境空气补充</w:t>
            </w:r>
            <w:r>
              <w:t>监测数据见表3-4。</w:t>
            </w:r>
          </w:p>
          <w:p>
            <w:pPr>
              <w:ind w:firstLine="560"/>
              <w:jc w:val="both"/>
            </w:pPr>
          </w:p>
          <w:p>
            <w:pPr>
              <w:ind w:firstLine="560"/>
              <w:jc w:val="both"/>
            </w:pPr>
          </w:p>
          <w:p>
            <w:pPr>
              <w:spacing w:line="240" w:lineRule="auto"/>
              <w:ind w:firstLine="422"/>
              <w:jc w:val="center"/>
              <w:rPr>
                <w:b/>
                <w:color w:val="000000"/>
                <w:sz w:val="21"/>
              </w:rPr>
            </w:pPr>
          </w:p>
          <w:p>
            <w:pPr>
              <w:spacing w:line="240" w:lineRule="auto"/>
              <w:ind w:firstLine="422"/>
              <w:jc w:val="center"/>
              <w:rPr>
                <w:b/>
                <w:color w:val="000000"/>
                <w:sz w:val="21"/>
              </w:rPr>
            </w:pPr>
            <w:r>
              <w:rPr>
                <w:b/>
                <w:color w:val="000000"/>
                <w:sz w:val="21"/>
              </w:rPr>
              <w:t xml:space="preserve">表3-4 </w:t>
            </w:r>
            <w:r>
              <w:rPr>
                <w:rFonts w:hint="eastAsia"/>
                <w:b/>
                <w:color w:val="000000"/>
                <w:sz w:val="21"/>
              </w:rPr>
              <w:t>环境空气</w:t>
            </w:r>
            <w:r>
              <w:rPr>
                <w:b/>
                <w:color w:val="000000"/>
                <w:sz w:val="21"/>
              </w:rPr>
              <w:t>监测结果</w:t>
            </w:r>
          </w:p>
          <w:tbl>
            <w:tblPr>
              <w:tblStyle w:val="27"/>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90"/>
              <w:gridCol w:w="1646"/>
              <w:gridCol w:w="536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restart"/>
                  <w:tcBorders>
                    <w:tl2br w:val="nil"/>
                    <w:tr2bl w:val="nil"/>
                  </w:tcBorders>
                  <w:shd w:val="clear" w:color="auto" w:fill="auto"/>
                  <w:vAlign w:val="center"/>
                </w:tcPr>
                <w:p>
                  <w:pPr>
                    <w:snapToGrid w:val="0"/>
                    <w:spacing w:line="240" w:lineRule="auto"/>
                    <w:ind w:firstLine="0" w:firstLineChars="0"/>
                    <w:jc w:val="center"/>
                    <w:rPr>
                      <w:b/>
                      <w:color w:val="000000"/>
                    </w:rPr>
                  </w:pPr>
                  <w:r>
                    <w:rPr>
                      <w:b/>
                      <w:color w:val="000000"/>
                      <w:sz w:val="21"/>
                    </w:rPr>
                    <w:t>采样点位</w:t>
                  </w:r>
                </w:p>
              </w:tc>
              <w:tc>
                <w:tcPr>
                  <w:tcW w:w="957" w:type="pct"/>
                  <w:vMerge w:val="restart"/>
                  <w:tcBorders>
                    <w:tl2br w:val="nil"/>
                    <w:tr2bl w:val="nil"/>
                  </w:tcBorders>
                  <w:shd w:val="clear" w:color="auto" w:fill="auto"/>
                  <w:vAlign w:val="center"/>
                </w:tcPr>
                <w:p>
                  <w:pPr>
                    <w:snapToGrid w:val="0"/>
                    <w:spacing w:line="240" w:lineRule="auto"/>
                    <w:ind w:firstLine="0" w:firstLineChars="0"/>
                    <w:jc w:val="center"/>
                    <w:rPr>
                      <w:b/>
                      <w:color w:val="000000"/>
                    </w:rPr>
                  </w:pPr>
                  <w:r>
                    <w:rPr>
                      <w:b/>
                      <w:color w:val="000000"/>
                      <w:sz w:val="21"/>
                    </w:rPr>
                    <w:t>采样日期</w:t>
                  </w:r>
                </w:p>
              </w:tc>
              <w:tc>
                <w:tcPr>
                  <w:tcW w:w="3118" w:type="pct"/>
                  <w:tcBorders>
                    <w:tl2br w:val="nil"/>
                    <w:tr2bl w:val="nil"/>
                  </w:tcBorders>
                  <w:shd w:val="clear" w:color="auto" w:fill="auto"/>
                  <w:vAlign w:val="center"/>
                </w:tcPr>
                <w:p>
                  <w:pPr>
                    <w:spacing w:line="300" w:lineRule="exact"/>
                    <w:ind w:left="-336" w:leftChars="-120" w:firstLine="422"/>
                    <w:jc w:val="center"/>
                    <w:rPr>
                      <w:b/>
                      <w:color w:val="000000"/>
                    </w:rPr>
                  </w:pPr>
                  <w:r>
                    <w:rPr>
                      <w:b/>
                      <w:color w:val="000000"/>
                      <w:sz w:val="21"/>
                    </w:rPr>
                    <w:t>检测结果（</w:t>
                  </w:r>
                  <w:r>
                    <w:rPr>
                      <w:b/>
                      <w:color w:val="000000"/>
                      <w:sz w:val="21"/>
                      <w:shd w:val="clear" w:color="auto" w:fill="FFFFFF"/>
                    </w:rPr>
                    <w:t>计量单位：μg/m</w:t>
                  </w:r>
                  <w:r>
                    <w:rPr>
                      <w:b/>
                      <w:color w:val="000000"/>
                      <w:sz w:val="21"/>
                      <w:shd w:val="clear" w:color="auto" w:fill="FFFFFF"/>
                      <w:vertAlign w:val="superscript"/>
                    </w:rPr>
                    <w:t>3</w:t>
                  </w:r>
                  <w:r>
                    <w:rPr>
                      <w:b/>
                      <w:color w:val="000000"/>
                      <w:sz w:val="21"/>
                      <w:shd w:val="clear" w:color="auto" w:fill="FFFFFF"/>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TVOC</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restart"/>
                  <w:tcBorders>
                    <w:tl2br w:val="nil"/>
                    <w:tr2bl w:val="nil"/>
                  </w:tcBorders>
                  <w:shd w:val="clear" w:color="auto" w:fill="auto"/>
                  <w:vAlign w:val="center"/>
                </w:tcPr>
                <w:p>
                  <w:pPr>
                    <w:snapToGrid w:val="0"/>
                    <w:spacing w:line="240" w:lineRule="auto"/>
                    <w:ind w:firstLine="0" w:firstLineChars="0"/>
                    <w:jc w:val="center"/>
                    <w:rPr>
                      <w:b/>
                      <w:bCs/>
                      <w:color w:val="000000"/>
                      <w:sz w:val="21"/>
                    </w:rPr>
                  </w:pPr>
                  <w:r>
                    <w:rPr>
                      <w:b/>
                      <w:bCs/>
                      <w:color w:val="000000"/>
                      <w:sz w:val="21"/>
                    </w:rPr>
                    <w:t>G1：桃江县</w:t>
                  </w:r>
                </w:p>
                <w:p>
                  <w:pPr>
                    <w:snapToGrid w:val="0"/>
                    <w:spacing w:line="240" w:lineRule="auto"/>
                    <w:ind w:firstLine="0" w:firstLineChars="0"/>
                    <w:jc w:val="center"/>
                    <w:rPr>
                      <w:b/>
                      <w:bCs/>
                      <w:color w:val="000000"/>
                      <w:sz w:val="21"/>
                    </w:rPr>
                  </w:pPr>
                  <w:r>
                    <w:rPr>
                      <w:b/>
                      <w:bCs/>
                      <w:color w:val="000000"/>
                      <w:sz w:val="21"/>
                    </w:rPr>
                    <w:t>二中加油点</w:t>
                  </w:r>
                  <w:r>
                    <w:rPr>
                      <w:rFonts w:hint="eastAsia"/>
                      <w:b/>
                      <w:bCs/>
                      <w:color w:val="000000"/>
                      <w:sz w:val="21"/>
                    </w:rPr>
                    <w:t>（项目</w:t>
                  </w:r>
                  <w:r>
                    <w:rPr>
                      <w:b/>
                      <w:bCs/>
                      <w:color w:val="000000"/>
                      <w:sz w:val="21"/>
                    </w:rPr>
                    <w:t>东</w:t>
                  </w:r>
                  <w:r>
                    <w:rPr>
                      <w:rFonts w:hint="eastAsia"/>
                      <w:b/>
                      <w:bCs/>
                      <w:color w:val="000000"/>
                      <w:sz w:val="21"/>
                    </w:rPr>
                    <w:t>侧</w:t>
                  </w:r>
                  <w:r>
                    <w:rPr>
                      <w:b/>
                      <w:bCs/>
                      <w:color w:val="000000"/>
                      <w:sz w:val="21"/>
                    </w:rPr>
                    <w:t>360米</w:t>
                  </w:r>
                  <w:r>
                    <w:rPr>
                      <w:rFonts w:hint="eastAsia"/>
                      <w:b/>
                      <w:bCs/>
                      <w:color w:val="000000"/>
                      <w:sz w:val="21"/>
                    </w:rPr>
                    <w:t>）</w:t>
                  </w:r>
                </w:p>
                <w:p>
                  <w:pPr>
                    <w:snapToGrid w:val="0"/>
                    <w:spacing w:line="240" w:lineRule="auto"/>
                    <w:ind w:firstLine="0" w:firstLineChars="0"/>
                    <w:jc w:val="center"/>
                    <w:rPr>
                      <w:color w:val="00000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2020.9.16</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2020.9.17</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144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2020.9.18</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119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2020.9.19</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163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2020.9.20</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2020.9.21</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165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924"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57"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2020.9.22</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140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881" w:type="pct"/>
                  <w:gridSpan w:val="2"/>
                  <w:tcBorders>
                    <w:tl2br w:val="nil"/>
                    <w:tr2bl w:val="nil"/>
                  </w:tcBorders>
                  <w:shd w:val="clear" w:color="auto" w:fill="auto"/>
                  <w:vAlign w:val="center"/>
                </w:tcPr>
                <w:p>
                  <w:pPr>
                    <w:snapToGrid w:val="0"/>
                    <w:spacing w:line="240" w:lineRule="auto"/>
                    <w:ind w:firstLine="0" w:firstLineChars="0"/>
                    <w:jc w:val="center"/>
                    <w:rPr>
                      <w:color w:val="000000"/>
                    </w:rPr>
                  </w:pPr>
                  <w:r>
                    <w:rPr>
                      <w:b/>
                      <w:bCs/>
                      <w:color w:val="000000"/>
                      <w:sz w:val="21"/>
                    </w:rPr>
                    <w:t>标准限</w:t>
                  </w:r>
                  <w:r>
                    <w:rPr>
                      <w:rFonts w:hint="eastAsia"/>
                      <w:b/>
                      <w:bCs/>
                      <w:color w:val="000000"/>
                      <w:sz w:val="21"/>
                    </w:rPr>
                    <w:t>值</w:t>
                  </w:r>
                </w:p>
              </w:tc>
              <w:tc>
                <w:tcPr>
                  <w:tcW w:w="3118" w:type="pct"/>
                  <w:tcBorders>
                    <w:tl2br w:val="nil"/>
                    <w:tr2bl w:val="nil"/>
                  </w:tcBorders>
                  <w:shd w:val="clear" w:color="auto" w:fill="auto"/>
                  <w:vAlign w:val="center"/>
                </w:tcPr>
                <w:p>
                  <w:pPr>
                    <w:snapToGrid w:val="0"/>
                    <w:spacing w:line="240" w:lineRule="auto"/>
                    <w:ind w:firstLine="0" w:firstLineChars="0"/>
                    <w:jc w:val="center"/>
                    <w:rPr>
                      <w:color w:val="000000"/>
                      <w:sz w:val="21"/>
                    </w:rPr>
                  </w:pPr>
                  <w:r>
                    <w:rPr>
                      <w:color w:val="000000"/>
                      <w:sz w:val="21"/>
                    </w:rPr>
                    <w:t>600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5000" w:type="pct"/>
                  <w:gridSpan w:val="3"/>
                  <w:tcBorders>
                    <w:tl2br w:val="nil"/>
                    <w:tr2bl w:val="nil"/>
                  </w:tcBorders>
                  <w:shd w:val="clear" w:color="auto" w:fill="auto"/>
                  <w:vAlign w:val="center"/>
                </w:tcPr>
                <w:p>
                  <w:pPr>
                    <w:snapToGrid w:val="0"/>
                    <w:spacing w:line="240" w:lineRule="auto"/>
                    <w:ind w:firstLine="0" w:firstLineChars="0"/>
                    <w:jc w:val="both"/>
                    <w:rPr>
                      <w:color w:val="000000"/>
                    </w:rPr>
                  </w:pPr>
                  <w:r>
                    <w:rPr>
                      <w:color w:val="000000"/>
                      <w:sz w:val="21"/>
                    </w:rPr>
                    <w:t>参考标准：《环境影响评价技术导则  大气环境》（HJ2.2-2018）附录D</w:t>
                  </w:r>
                </w:p>
              </w:tc>
            </w:tr>
          </w:tbl>
          <w:p>
            <w:pPr>
              <w:ind w:firstLine="560"/>
              <w:jc w:val="both"/>
            </w:pPr>
            <w:r>
              <w:t>根据上表数据可知，监测点位TVOC达到《环境影响评价技术导则  大气环境》（HJ2.2-2018）附录D。</w:t>
            </w:r>
          </w:p>
          <w:p>
            <w:pPr>
              <w:ind w:firstLine="560"/>
              <w:jc w:val="both"/>
            </w:pPr>
            <w:r>
              <w:t>（3）大气环境质量现状评价结论</w:t>
            </w:r>
          </w:p>
          <w:p>
            <w:pPr>
              <w:ind w:firstLine="560"/>
              <w:jc w:val="both"/>
            </w:pPr>
            <w:r>
              <w:t>综上所述，项目所在区域TVOC监测数据达标，满足《环境影响评价技术导则  大气环境》（HJ2.2-2018）附录D。</w:t>
            </w:r>
          </w:p>
          <w:p>
            <w:pPr>
              <w:spacing w:line="360" w:lineRule="auto"/>
              <w:ind w:firstLine="0" w:firstLineChars="0"/>
              <w:jc w:val="both"/>
              <w:rPr>
                <w:b/>
                <w:color w:val="000000"/>
                <w:szCs w:val="28"/>
              </w:rPr>
            </w:pPr>
            <w:r>
              <w:rPr>
                <w:b/>
                <w:color w:val="000000"/>
                <w:szCs w:val="28"/>
              </w:rPr>
              <w:t>2、地表水环境现状调查与评价</w:t>
            </w:r>
          </w:p>
          <w:p>
            <w:pPr>
              <w:ind w:firstLine="560"/>
              <w:jc w:val="both"/>
            </w:pPr>
            <w:r>
              <w:t>为了解区域地表水质量情况，本次环评委托湖南谱实检测技术有限公司2020年9月16日~9月18日，对项目所在地的地表水环境现状进行了监测。监测结果见下表：</w:t>
            </w: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pStyle w:val="22"/>
              <w:widowControl/>
              <w:snapToGrid w:val="0"/>
              <w:spacing w:line="240" w:lineRule="auto"/>
              <w:ind w:firstLine="422"/>
              <w:jc w:val="right"/>
              <w:rPr>
                <w:b/>
                <w:bCs/>
                <w:kern w:val="0"/>
                <w:szCs w:val="28"/>
              </w:rPr>
            </w:pPr>
            <w:r>
              <w:rPr>
                <w:b/>
                <w:color w:val="000000"/>
                <w:sz w:val="21"/>
              </w:rPr>
              <w:t>表3-6   桃江</w:t>
            </w:r>
            <w:r>
              <w:rPr>
                <w:rFonts w:hint="eastAsia"/>
                <w:b/>
                <w:color w:val="000000"/>
                <w:sz w:val="21"/>
              </w:rPr>
              <w:t>无名小溪</w:t>
            </w:r>
            <w:r>
              <w:rPr>
                <w:b/>
                <w:color w:val="000000"/>
                <w:sz w:val="21"/>
              </w:rPr>
              <w:t>断面监测数据      单位：mg/L（pH无量纲）</w:t>
            </w:r>
          </w:p>
          <w:tbl>
            <w:tblPr>
              <w:tblStyle w:val="27"/>
              <w:tblW w:w="5000"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914"/>
              <w:gridCol w:w="917"/>
              <w:gridCol w:w="924"/>
              <w:gridCol w:w="921"/>
              <w:gridCol w:w="921"/>
              <w:gridCol w:w="933"/>
              <w:gridCol w:w="1361"/>
              <w:gridCol w:w="10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59"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检测项目</w:t>
                  </w:r>
                </w:p>
              </w:tc>
              <w:tc>
                <w:tcPr>
                  <w:tcW w:w="3213" w:type="pct"/>
                  <w:gridSpan w:val="6"/>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检测结果</w:t>
                  </w:r>
                </w:p>
              </w:tc>
              <w:tc>
                <w:tcPr>
                  <w:tcW w:w="791"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标准限值</w:t>
                  </w:r>
                </w:p>
              </w:tc>
              <w:tc>
                <w:tcPr>
                  <w:tcW w:w="636"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c>
                <w:tcPr>
                  <w:tcW w:w="1601" w:type="pct"/>
                  <w:gridSpan w:val="3"/>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S1加油</w:t>
                  </w:r>
                  <w:r>
                    <w:rPr>
                      <w:rFonts w:hint="eastAsia"/>
                      <w:b/>
                      <w:bCs/>
                      <w:color w:val="000000"/>
                      <w:kern w:val="0"/>
                      <w:sz w:val="20"/>
                      <w:szCs w:val="20"/>
                    </w:rPr>
                    <w:t>点</w:t>
                  </w:r>
                  <w:r>
                    <w:rPr>
                      <w:b/>
                      <w:bCs/>
                      <w:color w:val="000000"/>
                      <w:kern w:val="0"/>
                      <w:sz w:val="20"/>
                      <w:szCs w:val="20"/>
                    </w:rPr>
                    <w:t>西北面的无名小溪上游100m</w:t>
                  </w:r>
                </w:p>
              </w:tc>
              <w:tc>
                <w:tcPr>
                  <w:tcW w:w="1611" w:type="pct"/>
                  <w:gridSpan w:val="3"/>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S2加油</w:t>
                  </w:r>
                  <w:r>
                    <w:rPr>
                      <w:rFonts w:hint="eastAsia"/>
                      <w:b/>
                      <w:bCs/>
                      <w:color w:val="000000"/>
                      <w:kern w:val="0"/>
                      <w:sz w:val="20"/>
                      <w:szCs w:val="20"/>
                    </w:rPr>
                    <w:t>点</w:t>
                  </w:r>
                  <w:r>
                    <w:rPr>
                      <w:b/>
                      <w:bCs/>
                      <w:color w:val="000000"/>
                      <w:kern w:val="0"/>
                      <w:sz w:val="20"/>
                      <w:szCs w:val="20"/>
                    </w:rPr>
                    <w:t>西南面的无名小溪下游330m</w:t>
                  </w:r>
                </w:p>
              </w:tc>
              <w:tc>
                <w:tcPr>
                  <w:tcW w:w="791" w:type="pct"/>
                  <w:vMerge w:val="continue"/>
                  <w:tcBorders>
                    <w:tl2br w:val="nil"/>
                    <w:tr2bl w:val="nil"/>
                  </w:tcBorders>
                  <w:vAlign w:val="center"/>
                </w:tcPr>
                <w:p>
                  <w:pPr>
                    <w:widowControl/>
                    <w:spacing w:line="240" w:lineRule="auto"/>
                    <w:ind w:firstLine="0" w:firstLineChars="0"/>
                    <w:jc w:val="center"/>
                    <w:rPr>
                      <w:color w:val="000000"/>
                      <w:kern w:val="0"/>
                      <w:sz w:val="20"/>
                      <w:szCs w:val="20"/>
                    </w:rPr>
                  </w:pPr>
                </w:p>
              </w:tc>
              <w:tc>
                <w:tcPr>
                  <w:tcW w:w="636" w:type="pct"/>
                  <w:vMerge w:val="continue"/>
                  <w:tcBorders>
                    <w:tl2br w:val="nil"/>
                    <w:tr2bl w:val="nil"/>
                  </w:tcBorders>
                  <w:vAlign w:val="center"/>
                </w:tcPr>
                <w:p>
                  <w:pPr>
                    <w:widowControl/>
                    <w:spacing w:line="240" w:lineRule="auto"/>
                    <w:ind w:firstLine="0" w:firstLineChars="0"/>
                    <w:jc w:val="center"/>
                    <w:rPr>
                      <w:color w:val="000000"/>
                      <w:kern w:val="0"/>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c>
                <w:tcPr>
                  <w:tcW w:w="531" w:type="pct"/>
                  <w:tcBorders>
                    <w:tl2br w:val="nil"/>
                    <w:tr2bl w:val="nil"/>
                  </w:tcBorders>
                  <w:vAlign w:val="center"/>
                </w:tcPr>
                <w:p>
                  <w:pPr>
                    <w:pStyle w:val="25"/>
                    <w:spacing w:after="0" w:line="240" w:lineRule="auto"/>
                    <w:ind w:left="0" w:leftChars="0" w:firstLine="0" w:firstLineChars="0"/>
                    <w:jc w:val="center"/>
                    <w:rPr>
                      <w:b/>
                      <w:bCs/>
                      <w:sz w:val="21"/>
                      <w:szCs w:val="21"/>
                    </w:rPr>
                  </w:pPr>
                  <w:r>
                    <w:rPr>
                      <w:rFonts w:hint="eastAsia"/>
                      <w:b/>
                      <w:bCs/>
                      <w:sz w:val="21"/>
                      <w:szCs w:val="21"/>
                    </w:rPr>
                    <w:t>2020.</w:t>
                  </w:r>
                  <w:r>
                    <w:rPr>
                      <w:b/>
                      <w:bCs/>
                      <w:sz w:val="21"/>
                      <w:szCs w:val="21"/>
                    </w:rPr>
                    <w:t>9.16</w:t>
                  </w:r>
                </w:p>
              </w:tc>
              <w:tc>
                <w:tcPr>
                  <w:tcW w:w="533" w:type="pct"/>
                  <w:tcBorders>
                    <w:tl2br w:val="nil"/>
                    <w:tr2bl w:val="nil"/>
                  </w:tcBorders>
                  <w:vAlign w:val="center"/>
                </w:tcPr>
                <w:p>
                  <w:pPr>
                    <w:spacing w:line="240" w:lineRule="auto"/>
                    <w:ind w:firstLine="0" w:firstLineChars="0"/>
                    <w:jc w:val="center"/>
                    <w:rPr>
                      <w:b/>
                      <w:bCs/>
                      <w:sz w:val="21"/>
                    </w:rPr>
                  </w:pPr>
                  <w:r>
                    <w:rPr>
                      <w:rFonts w:hint="eastAsia"/>
                      <w:b/>
                      <w:bCs/>
                      <w:sz w:val="21"/>
                    </w:rPr>
                    <w:t>2020.</w:t>
                  </w:r>
                  <w:r>
                    <w:rPr>
                      <w:b/>
                      <w:bCs/>
                      <w:sz w:val="21"/>
                    </w:rPr>
                    <w:t>9.17</w:t>
                  </w:r>
                </w:p>
              </w:tc>
              <w:tc>
                <w:tcPr>
                  <w:tcW w:w="537" w:type="pct"/>
                  <w:tcBorders>
                    <w:tl2br w:val="nil"/>
                    <w:tr2bl w:val="nil"/>
                  </w:tcBorders>
                  <w:vAlign w:val="center"/>
                </w:tcPr>
                <w:p>
                  <w:pPr>
                    <w:spacing w:line="240" w:lineRule="auto"/>
                    <w:ind w:firstLine="0" w:firstLineChars="0"/>
                    <w:jc w:val="center"/>
                    <w:rPr>
                      <w:b/>
                      <w:bCs/>
                      <w:sz w:val="21"/>
                    </w:rPr>
                  </w:pPr>
                  <w:r>
                    <w:rPr>
                      <w:rFonts w:hint="eastAsia"/>
                      <w:b/>
                      <w:bCs/>
                      <w:sz w:val="21"/>
                    </w:rPr>
                    <w:t>2020.</w:t>
                  </w:r>
                  <w:r>
                    <w:rPr>
                      <w:b/>
                      <w:bCs/>
                      <w:sz w:val="21"/>
                    </w:rPr>
                    <w:t>9.18</w:t>
                  </w:r>
                </w:p>
              </w:tc>
              <w:tc>
                <w:tcPr>
                  <w:tcW w:w="535" w:type="pct"/>
                  <w:tcBorders>
                    <w:tl2br w:val="nil"/>
                    <w:tr2bl w:val="nil"/>
                  </w:tcBorders>
                  <w:vAlign w:val="center"/>
                </w:tcPr>
                <w:p>
                  <w:pPr>
                    <w:spacing w:line="240" w:lineRule="auto"/>
                    <w:ind w:firstLine="0" w:firstLineChars="0"/>
                    <w:jc w:val="center"/>
                    <w:rPr>
                      <w:b/>
                      <w:bCs/>
                      <w:sz w:val="21"/>
                    </w:rPr>
                  </w:pPr>
                  <w:r>
                    <w:rPr>
                      <w:rFonts w:hint="eastAsia"/>
                      <w:b/>
                      <w:bCs/>
                      <w:sz w:val="21"/>
                    </w:rPr>
                    <w:t>2020.</w:t>
                  </w:r>
                  <w:r>
                    <w:rPr>
                      <w:b/>
                      <w:bCs/>
                      <w:sz w:val="21"/>
                    </w:rPr>
                    <w:t>9.16</w:t>
                  </w:r>
                </w:p>
              </w:tc>
              <w:tc>
                <w:tcPr>
                  <w:tcW w:w="535" w:type="pct"/>
                  <w:tcBorders>
                    <w:tl2br w:val="nil"/>
                    <w:tr2bl w:val="nil"/>
                  </w:tcBorders>
                  <w:vAlign w:val="center"/>
                </w:tcPr>
                <w:p>
                  <w:pPr>
                    <w:spacing w:line="240" w:lineRule="auto"/>
                    <w:ind w:firstLine="0" w:firstLineChars="0"/>
                    <w:jc w:val="center"/>
                    <w:rPr>
                      <w:b/>
                      <w:bCs/>
                      <w:sz w:val="21"/>
                    </w:rPr>
                  </w:pPr>
                  <w:r>
                    <w:rPr>
                      <w:rFonts w:hint="eastAsia"/>
                      <w:b/>
                      <w:bCs/>
                      <w:sz w:val="21"/>
                    </w:rPr>
                    <w:t>2020.</w:t>
                  </w:r>
                  <w:r>
                    <w:rPr>
                      <w:b/>
                      <w:bCs/>
                      <w:sz w:val="21"/>
                    </w:rPr>
                    <w:t>9.17</w:t>
                  </w:r>
                </w:p>
              </w:tc>
              <w:tc>
                <w:tcPr>
                  <w:tcW w:w="541" w:type="pct"/>
                  <w:tcBorders>
                    <w:tl2br w:val="nil"/>
                    <w:tr2bl w:val="nil"/>
                  </w:tcBorders>
                  <w:vAlign w:val="center"/>
                </w:tcPr>
                <w:p>
                  <w:pPr>
                    <w:spacing w:line="240" w:lineRule="auto"/>
                    <w:ind w:firstLine="0" w:firstLineChars="0"/>
                    <w:jc w:val="center"/>
                    <w:rPr>
                      <w:b/>
                      <w:bCs/>
                      <w:sz w:val="21"/>
                    </w:rPr>
                  </w:pPr>
                  <w:r>
                    <w:rPr>
                      <w:rFonts w:hint="eastAsia"/>
                      <w:b/>
                      <w:bCs/>
                      <w:sz w:val="21"/>
                    </w:rPr>
                    <w:t>2020.</w:t>
                  </w:r>
                  <w:r>
                    <w:rPr>
                      <w:b/>
                      <w:bCs/>
                      <w:sz w:val="21"/>
                    </w:rPr>
                    <w:t>9.18</w:t>
                  </w:r>
                </w:p>
              </w:tc>
              <w:tc>
                <w:tcPr>
                  <w:tcW w:w="791" w:type="pct"/>
                  <w:vMerge w:val="continue"/>
                  <w:tcBorders>
                    <w:tl2br w:val="nil"/>
                    <w:tr2bl w:val="nil"/>
                  </w:tcBorders>
                  <w:vAlign w:val="center"/>
                </w:tcPr>
                <w:p>
                  <w:pPr>
                    <w:spacing w:line="240" w:lineRule="auto"/>
                    <w:ind w:firstLine="0" w:firstLineChars="0"/>
                    <w:jc w:val="both"/>
                    <w:rPr>
                      <w:sz w:val="21"/>
                    </w:rPr>
                  </w:pPr>
                </w:p>
              </w:tc>
              <w:tc>
                <w:tcPr>
                  <w:tcW w:w="636" w:type="pct"/>
                  <w:vMerge w:val="continue"/>
                  <w:tcBorders>
                    <w:tl2br w:val="nil"/>
                    <w:tr2bl w:val="nil"/>
                  </w:tcBorders>
                  <w:vAlign w:val="center"/>
                </w:tcPr>
                <w:p>
                  <w:pPr>
                    <w:spacing w:line="240" w:lineRule="auto"/>
                    <w:ind w:firstLine="0" w:firstLineChars="0"/>
                    <w:jc w:val="both"/>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pH 值</w:t>
                  </w:r>
                </w:p>
              </w:tc>
              <w:tc>
                <w:tcPr>
                  <w:tcW w:w="53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6.86</w:t>
                  </w:r>
                </w:p>
              </w:tc>
              <w:tc>
                <w:tcPr>
                  <w:tcW w:w="533"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6.89</w:t>
                  </w:r>
                </w:p>
              </w:tc>
              <w:tc>
                <w:tcPr>
                  <w:tcW w:w="53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6.92</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6.91</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6.82</w:t>
                  </w:r>
                </w:p>
              </w:tc>
              <w:tc>
                <w:tcPr>
                  <w:tcW w:w="54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6.85</w:t>
                  </w:r>
                </w:p>
              </w:tc>
              <w:tc>
                <w:tcPr>
                  <w:tcW w:w="791" w:type="pct"/>
                  <w:tcBorders>
                    <w:tl2br w:val="nil"/>
                    <w:tr2bl w:val="nil"/>
                  </w:tcBorders>
                  <w:vAlign w:val="center"/>
                </w:tcPr>
                <w:p>
                  <w:pPr>
                    <w:spacing w:line="240" w:lineRule="auto"/>
                    <w:ind w:firstLine="0" w:firstLineChars="0"/>
                    <w:jc w:val="center"/>
                    <w:rPr>
                      <w:sz w:val="21"/>
                    </w:rPr>
                  </w:pPr>
                  <w:r>
                    <w:rPr>
                      <w:color w:val="000000"/>
                      <w:sz w:val="21"/>
                    </w:rPr>
                    <w:t>6～9</w:t>
                  </w:r>
                </w:p>
              </w:tc>
              <w:tc>
                <w:tcPr>
                  <w:tcW w:w="63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化学需氧量</w:t>
                  </w:r>
                </w:p>
              </w:tc>
              <w:tc>
                <w:tcPr>
                  <w:tcW w:w="53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9</w:t>
                  </w:r>
                </w:p>
              </w:tc>
              <w:tc>
                <w:tcPr>
                  <w:tcW w:w="533"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w:t>
                  </w:r>
                </w:p>
              </w:tc>
              <w:tc>
                <w:tcPr>
                  <w:tcW w:w="53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12</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13</w:t>
                  </w:r>
                </w:p>
              </w:tc>
              <w:tc>
                <w:tcPr>
                  <w:tcW w:w="54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14</w:t>
                  </w:r>
                </w:p>
              </w:tc>
              <w:tc>
                <w:tcPr>
                  <w:tcW w:w="791" w:type="pct"/>
                  <w:tcBorders>
                    <w:tl2br w:val="nil"/>
                    <w:tr2bl w:val="nil"/>
                  </w:tcBorders>
                  <w:vAlign w:val="center"/>
                </w:tcPr>
                <w:p>
                  <w:pPr>
                    <w:spacing w:line="240" w:lineRule="auto"/>
                    <w:ind w:firstLine="0" w:firstLineChars="0"/>
                    <w:jc w:val="center"/>
                    <w:rPr>
                      <w:sz w:val="21"/>
                    </w:rPr>
                  </w:pPr>
                  <w:r>
                    <w:rPr>
                      <w:color w:val="000000"/>
                      <w:sz w:val="21"/>
                    </w:rPr>
                    <w:t>≤20mg/L</w:t>
                  </w:r>
                </w:p>
              </w:tc>
              <w:tc>
                <w:tcPr>
                  <w:tcW w:w="636"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石油类</w:t>
                  </w:r>
                </w:p>
              </w:tc>
              <w:tc>
                <w:tcPr>
                  <w:tcW w:w="53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533" w:type="pct"/>
                  <w:tcBorders>
                    <w:tl2br w:val="nil"/>
                    <w:tr2bl w:val="nil"/>
                  </w:tcBorders>
                  <w:vAlign w:val="center"/>
                </w:tcPr>
                <w:p>
                  <w:pPr>
                    <w:spacing w:line="240" w:lineRule="auto"/>
                    <w:ind w:firstLine="0" w:firstLineChars="0"/>
                    <w:jc w:val="center"/>
                    <w:rPr>
                      <w:sz w:val="21"/>
                    </w:rPr>
                  </w:pPr>
                  <w:r>
                    <w:rPr>
                      <w:sz w:val="21"/>
                    </w:rPr>
                    <w:t>ND</w:t>
                  </w:r>
                </w:p>
              </w:tc>
              <w:tc>
                <w:tcPr>
                  <w:tcW w:w="537" w:type="pct"/>
                  <w:tcBorders>
                    <w:tl2br w:val="nil"/>
                    <w:tr2bl w:val="nil"/>
                  </w:tcBorders>
                  <w:vAlign w:val="center"/>
                </w:tcPr>
                <w:p>
                  <w:pPr>
                    <w:spacing w:line="240" w:lineRule="auto"/>
                    <w:ind w:firstLine="0" w:firstLineChars="0"/>
                    <w:jc w:val="center"/>
                    <w:rPr>
                      <w:sz w:val="21"/>
                    </w:rPr>
                  </w:pPr>
                  <w:r>
                    <w:rPr>
                      <w:sz w:val="21"/>
                    </w:rPr>
                    <w:t>ND</w:t>
                  </w:r>
                </w:p>
              </w:tc>
              <w:tc>
                <w:tcPr>
                  <w:tcW w:w="535" w:type="pct"/>
                  <w:tcBorders>
                    <w:tl2br w:val="nil"/>
                    <w:tr2bl w:val="nil"/>
                  </w:tcBorders>
                  <w:vAlign w:val="center"/>
                </w:tcPr>
                <w:p>
                  <w:pPr>
                    <w:spacing w:line="240" w:lineRule="auto"/>
                    <w:ind w:firstLine="0" w:firstLineChars="0"/>
                    <w:jc w:val="center"/>
                    <w:rPr>
                      <w:sz w:val="21"/>
                    </w:rPr>
                  </w:pPr>
                  <w:r>
                    <w:rPr>
                      <w:sz w:val="21"/>
                    </w:rPr>
                    <w:t>ND</w:t>
                  </w:r>
                </w:p>
              </w:tc>
              <w:tc>
                <w:tcPr>
                  <w:tcW w:w="535" w:type="pct"/>
                  <w:tcBorders>
                    <w:tl2br w:val="nil"/>
                    <w:tr2bl w:val="nil"/>
                  </w:tcBorders>
                  <w:vAlign w:val="center"/>
                </w:tcPr>
                <w:p>
                  <w:pPr>
                    <w:spacing w:line="240" w:lineRule="auto"/>
                    <w:ind w:firstLine="0" w:firstLineChars="0"/>
                    <w:jc w:val="center"/>
                    <w:rPr>
                      <w:sz w:val="21"/>
                    </w:rPr>
                  </w:pPr>
                  <w:r>
                    <w:rPr>
                      <w:sz w:val="21"/>
                    </w:rPr>
                    <w:t>ND</w:t>
                  </w:r>
                </w:p>
              </w:tc>
              <w:tc>
                <w:tcPr>
                  <w:tcW w:w="541" w:type="pct"/>
                  <w:tcBorders>
                    <w:tl2br w:val="nil"/>
                    <w:tr2bl w:val="nil"/>
                  </w:tcBorders>
                  <w:vAlign w:val="center"/>
                </w:tcPr>
                <w:p>
                  <w:pPr>
                    <w:spacing w:line="240" w:lineRule="auto"/>
                    <w:ind w:firstLine="0" w:firstLineChars="0"/>
                    <w:jc w:val="center"/>
                    <w:rPr>
                      <w:sz w:val="21"/>
                    </w:rPr>
                  </w:pPr>
                  <w:r>
                    <w:rPr>
                      <w:sz w:val="21"/>
                    </w:rPr>
                    <w:t>ND</w:t>
                  </w:r>
                </w:p>
              </w:tc>
              <w:tc>
                <w:tcPr>
                  <w:tcW w:w="791" w:type="pct"/>
                  <w:tcBorders>
                    <w:tl2br w:val="nil"/>
                    <w:tr2bl w:val="nil"/>
                  </w:tcBorders>
                  <w:vAlign w:val="center"/>
                </w:tcPr>
                <w:p>
                  <w:pPr>
                    <w:spacing w:line="240" w:lineRule="auto"/>
                    <w:ind w:firstLine="0" w:firstLineChars="0"/>
                    <w:jc w:val="center"/>
                    <w:rPr>
                      <w:sz w:val="21"/>
                    </w:rPr>
                  </w:pPr>
                  <w:r>
                    <w:rPr>
                      <w:color w:val="000000"/>
                      <w:sz w:val="21"/>
                    </w:rPr>
                    <w:t>≤0.05mg/L</w:t>
                  </w:r>
                </w:p>
              </w:tc>
              <w:tc>
                <w:tcPr>
                  <w:tcW w:w="636"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氨氮</w:t>
                  </w:r>
                </w:p>
              </w:tc>
              <w:tc>
                <w:tcPr>
                  <w:tcW w:w="53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0.189</w:t>
                  </w:r>
                </w:p>
              </w:tc>
              <w:tc>
                <w:tcPr>
                  <w:tcW w:w="533"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0.201</w:t>
                  </w:r>
                </w:p>
              </w:tc>
              <w:tc>
                <w:tcPr>
                  <w:tcW w:w="53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0.196</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0.236</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0.255</w:t>
                  </w:r>
                </w:p>
              </w:tc>
              <w:tc>
                <w:tcPr>
                  <w:tcW w:w="54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0.239</w:t>
                  </w:r>
                </w:p>
              </w:tc>
              <w:tc>
                <w:tcPr>
                  <w:tcW w:w="791" w:type="pct"/>
                  <w:tcBorders>
                    <w:tl2br w:val="nil"/>
                    <w:tr2bl w:val="nil"/>
                  </w:tcBorders>
                  <w:vAlign w:val="center"/>
                </w:tcPr>
                <w:p>
                  <w:pPr>
                    <w:spacing w:line="240" w:lineRule="auto"/>
                    <w:ind w:firstLine="0" w:firstLineChars="0"/>
                    <w:jc w:val="center"/>
                    <w:rPr>
                      <w:sz w:val="21"/>
                    </w:rPr>
                  </w:pPr>
                  <w:r>
                    <w:rPr>
                      <w:color w:val="000000"/>
                      <w:sz w:val="21"/>
                    </w:rPr>
                    <w:t>≤1.0mg/L</w:t>
                  </w:r>
                </w:p>
              </w:tc>
              <w:tc>
                <w:tcPr>
                  <w:tcW w:w="636"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widowControl/>
                    <w:spacing w:line="240" w:lineRule="auto"/>
                    <w:ind w:firstLine="0" w:firstLineChars="0"/>
                    <w:jc w:val="center"/>
                    <w:rPr>
                      <w:b/>
                      <w:bCs/>
                      <w:sz w:val="21"/>
                    </w:rPr>
                  </w:pPr>
                  <w:r>
                    <w:rPr>
                      <w:b/>
                      <w:bCs/>
                      <w:color w:val="000000"/>
                      <w:kern w:val="0"/>
                      <w:sz w:val="20"/>
                      <w:szCs w:val="20"/>
                    </w:rPr>
                    <w:t>总磷</w:t>
                  </w:r>
                </w:p>
              </w:tc>
              <w:tc>
                <w:tcPr>
                  <w:tcW w:w="53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0.05</w:t>
                  </w:r>
                </w:p>
              </w:tc>
              <w:tc>
                <w:tcPr>
                  <w:tcW w:w="533"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0.06</w:t>
                  </w:r>
                </w:p>
              </w:tc>
              <w:tc>
                <w:tcPr>
                  <w:tcW w:w="53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0.06</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0.08</w:t>
                  </w:r>
                </w:p>
              </w:tc>
              <w:tc>
                <w:tcPr>
                  <w:tcW w:w="53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0.09</w:t>
                  </w:r>
                </w:p>
              </w:tc>
              <w:tc>
                <w:tcPr>
                  <w:tcW w:w="54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0.09</w:t>
                  </w:r>
                </w:p>
              </w:tc>
              <w:tc>
                <w:tcPr>
                  <w:tcW w:w="791" w:type="pct"/>
                  <w:tcBorders>
                    <w:tl2br w:val="nil"/>
                    <w:tr2bl w:val="nil"/>
                  </w:tcBorders>
                  <w:vAlign w:val="center"/>
                </w:tcPr>
                <w:p>
                  <w:pPr>
                    <w:spacing w:line="240" w:lineRule="auto"/>
                    <w:ind w:firstLine="0" w:firstLineChars="0"/>
                    <w:jc w:val="center"/>
                    <w:rPr>
                      <w:sz w:val="21"/>
                    </w:rPr>
                  </w:pPr>
                  <w:r>
                    <w:rPr>
                      <w:color w:val="000000"/>
                      <w:sz w:val="21"/>
                    </w:rPr>
                    <w:t>≤0.2mg/L</w:t>
                  </w:r>
                </w:p>
              </w:tc>
              <w:tc>
                <w:tcPr>
                  <w:tcW w:w="636" w:type="pct"/>
                  <w:tcBorders>
                    <w:tl2br w:val="nil"/>
                    <w:tr2bl w:val="nil"/>
                  </w:tcBorders>
                  <w:vAlign w:val="center"/>
                </w:tcPr>
                <w:p>
                  <w:pPr>
                    <w:spacing w:line="240" w:lineRule="auto"/>
                    <w:ind w:firstLine="0" w:firstLineChars="0"/>
                    <w:jc w:val="center"/>
                    <w:rPr>
                      <w:sz w:val="21"/>
                    </w:rPr>
                  </w:pPr>
                  <w:r>
                    <w:rPr>
                      <w:sz w:val="21"/>
                    </w:rPr>
                    <w:t>达标</w:t>
                  </w:r>
                </w:p>
              </w:tc>
            </w:tr>
          </w:tbl>
          <w:p>
            <w:pPr>
              <w:spacing w:line="240" w:lineRule="auto"/>
              <w:ind w:firstLine="0" w:firstLineChars="0"/>
              <w:jc w:val="both"/>
              <w:rPr>
                <w:sz w:val="18"/>
                <w:szCs w:val="18"/>
              </w:rPr>
            </w:pPr>
            <w:r>
              <w:rPr>
                <w:sz w:val="18"/>
                <w:szCs w:val="18"/>
              </w:rPr>
              <w:t>备注：“ND”表示检测结果低于检出限</w:t>
            </w:r>
          </w:p>
          <w:p>
            <w:pPr>
              <w:ind w:firstLine="560"/>
              <w:jc w:val="both"/>
              <w:rPr>
                <w:szCs w:val="28"/>
              </w:rPr>
            </w:pPr>
            <w:r>
              <w:t>由表3-6可知，与项目相近的地表水-无名小溪各监测因子均符合《地表水环境质量标准》（GB3838-2002）中Ⅲ类水质功能标准的要求。</w:t>
            </w:r>
          </w:p>
          <w:p>
            <w:pPr>
              <w:spacing w:line="360" w:lineRule="auto"/>
              <w:ind w:firstLine="0" w:firstLineChars="0"/>
              <w:jc w:val="both"/>
              <w:rPr>
                <w:b/>
                <w:color w:val="000000"/>
                <w:szCs w:val="28"/>
              </w:rPr>
            </w:pPr>
            <w:r>
              <w:rPr>
                <w:b/>
                <w:color w:val="000000"/>
                <w:szCs w:val="28"/>
              </w:rPr>
              <w:t>3、地下水环境质量现状</w:t>
            </w:r>
          </w:p>
          <w:p>
            <w:pPr>
              <w:pStyle w:val="14"/>
              <w:ind w:firstLine="560"/>
              <w:jc w:val="both"/>
            </w:pPr>
            <w:r>
              <w:t>为了解区域地下水质量情况，本次环评委托湖南谱实检测技术有限公司2020年9月16日，对项目所在地的地下水环境现状进行了监测。加油点周围居民饮用水为</w:t>
            </w:r>
            <w:r>
              <w:rPr>
                <w:rFonts w:hint="eastAsia"/>
              </w:rPr>
              <w:t>乡镇</w:t>
            </w:r>
            <w:r>
              <w:t>供水，</w:t>
            </w:r>
            <w:r>
              <w:rPr>
                <w:rFonts w:hint="eastAsia"/>
              </w:rPr>
              <w:t>原有地下水井均不作饮用功能，仅用于卫生清洁、菜地浇灌</w:t>
            </w:r>
            <w:r>
              <w:t>。监测结果见下表：</w:t>
            </w: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ind w:firstLine="560"/>
              <w:jc w:val="both"/>
            </w:pPr>
          </w:p>
          <w:p>
            <w:pPr>
              <w:spacing w:line="240" w:lineRule="auto"/>
              <w:ind w:firstLine="422"/>
              <w:jc w:val="center"/>
              <w:rPr>
                <w:b/>
                <w:color w:val="000000"/>
                <w:sz w:val="21"/>
              </w:rPr>
            </w:pPr>
          </w:p>
          <w:p>
            <w:pPr>
              <w:spacing w:line="240" w:lineRule="auto"/>
              <w:ind w:firstLine="422"/>
              <w:jc w:val="center"/>
              <w:rPr>
                <w:b/>
                <w:color w:val="000000"/>
                <w:sz w:val="21"/>
              </w:rPr>
            </w:pPr>
            <w:r>
              <w:rPr>
                <w:b/>
                <w:color w:val="000000"/>
                <w:sz w:val="21"/>
              </w:rPr>
              <w:t>表3-7  地下水监测结果  计量单位：mg/L，pH 值：无量纲，总大肠菌群：MPN/100mL</w:t>
            </w:r>
          </w:p>
          <w:tbl>
            <w:tblPr>
              <w:tblStyle w:val="27"/>
              <w:tblW w:w="4997"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524"/>
              <w:gridCol w:w="1560"/>
              <w:gridCol w:w="1347"/>
              <w:gridCol w:w="1400"/>
              <w:gridCol w:w="10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检测项目</w:t>
                  </w:r>
                </w:p>
              </w:tc>
              <w:tc>
                <w:tcPr>
                  <w:tcW w:w="2576" w:type="pct"/>
                  <w:gridSpan w:val="3"/>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检测结果</w:t>
                  </w:r>
                </w:p>
              </w:tc>
              <w:tc>
                <w:tcPr>
                  <w:tcW w:w="814"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标准限值</w:t>
                  </w:r>
                </w:p>
              </w:tc>
              <w:tc>
                <w:tcPr>
                  <w:tcW w:w="595" w:type="pct"/>
                  <w:vMerge w:val="restar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c>
                <w:tcPr>
                  <w:tcW w:w="886"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D1鲊埠加油</w:t>
                  </w:r>
                  <w:r>
                    <w:rPr>
                      <w:rFonts w:hint="eastAsia"/>
                      <w:b/>
                      <w:bCs/>
                      <w:sz w:val="21"/>
                      <w:szCs w:val="21"/>
                    </w:rPr>
                    <w:t>点</w:t>
                  </w:r>
                  <w:r>
                    <w:rPr>
                      <w:b/>
                      <w:bCs/>
                      <w:sz w:val="21"/>
                      <w:szCs w:val="21"/>
                    </w:rPr>
                    <w:t>井口</w:t>
                  </w:r>
                </w:p>
              </w:tc>
              <w:tc>
                <w:tcPr>
                  <w:tcW w:w="907"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D2鲊埠加油</w:t>
                  </w:r>
                  <w:r>
                    <w:rPr>
                      <w:rFonts w:hint="eastAsia"/>
                      <w:b/>
                      <w:bCs/>
                      <w:sz w:val="21"/>
                      <w:szCs w:val="21"/>
                    </w:rPr>
                    <w:t>点</w:t>
                  </w:r>
                  <w:r>
                    <w:rPr>
                      <w:b/>
                      <w:bCs/>
                      <w:sz w:val="21"/>
                      <w:szCs w:val="21"/>
                    </w:rPr>
                    <w:t>东侧居民水井</w:t>
                  </w:r>
                </w:p>
              </w:tc>
              <w:tc>
                <w:tcPr>
                  <w:tcW w:w="781"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D3 鲊埠加油</w:t>
                  </w:r>
                  <w:r>
                    <w:rPr>
                      <w:rFonts w:hint="eastAsia"/>
                      <w:b/>
                      <w:bCs/>
                      <w:sz w:val="21"/>
                      <w:szCs w:val="21"/>
                    </w:rPr>
                    <w:t>点</w:t>
                  </w:r>
                  <w:r>
                    <w:rPr>
                      <w:b/>
                      <w:bCs/>
                      <w:sz w:val="21"/>
                      <w:szCs w:val="21"/>
                    </w:rPr>
                    <w:t>东南侧居民水井</w:t>
                  </w:r>
                </w:p>
              </w:tc>
              <w:tc>
                <w:tcPr>
                  <w:tcW w:w="814"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c>
                <w:tcPr>
                  <w:tcW w:w="595" w:type="pct"/>
                  <w:vMerge w:val="continue"/>
                  <w:tcBorders>
                    <w:tl2br w:val="nil"/>
                    <w:tr2bl w:val="nil"/>
                  </w:tcBorders>
                  <w:vAlign w:val="center"/>
                </w:tcPr>
                <w:p>
                  <w:pPr>
                    <w:pStyle w:val="25"/>
                    <w:spacing w:after="0" w:line="240" w:lineRule="auto"/>
                    <w:ind w:left="0" w:leftChars="0" w:firstLine="0" w:firstLineChars="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widowControl/>
                    <w:spacing w:line="240" w:lineRule="auto"/>
                    <w:ind w:firstLine="0" w:firstLineChars="0"/>
                    <w:jc w:val="center"/>
                    <w:rPr>
                      <w:b/>
                      <w:bCs/>
                      <w:sz w:val="21"/>
                    </w:rPr>
                  </w:pPr>
                  <w:r>
                    <w:rPr>
                      <w:b/>
                      <w:bCs/>
                      <w:color w:val="000000"/>
                      <w:kern w:val="0"/>
                      <w:sz w:val="21"/>
                    </w:rPr>
                    <w:t>pH 值</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7.15</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7.09</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7.32</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6.5≤pH≤8.5</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7" w:hRule="atLeast"/>
              </w:trPr>
              <w:tc>
                <w:tcPr>
                  <w:tcW w:w="1014" w:type="pct"/>
                  <w:tcBorders>
                    <w:tl2br w:val="nil"/>
                    <w:tr2bl w:val="nil"/>
                  </w:tcBorders>
                  <w:vAlign w:val="center"/>
                </w:tcPr>
                <w:p>
                  <w:pPr>
                    <w:widowControl/>
                    <w:spacing w:line="240" w:lineRule="auto"/>
                    <w:ind w:firstLine="0" w:firstLineChars="0"/>
                    <w:jc w:val="center"/>
                    <w:rPr>
                      <w:b/>
                      <w:bCs/>
                      <w:sz w:val="21"/>
                    </w:rPr>
                  </w:pPr>
                  <w:r>
                    <w:rPr>
                      <w:b/>
                      <w:bCs/>
                      <w:color w:val="000000"/>
                      <w:kern w:val="0"/>
                      <w:sz w:val="21"/>
                    </w:rPr>
                    <w:t>耗氧量</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0.92</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1.12</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0.85</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≤2.0</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氨氮（以N计）</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0.042</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0.029</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0.033</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≤0.5</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widowControl/>
                    <w:spacing w:line="240" w:lineRule="auto"/>
                    <w:ind w:firstLine="0" w:firstLineChars="0"/>
                    <w:jc w:val="center"/>
                    <w:rPr>
                      <w:b/>
                      <w:bCs/>
                      <w:sz w:val="21"/>
                    </w:rPr>
                  </w:pPr>
                  <w:r>
                    <w:rPr>
                      <w:b/>
                      <w:bCs/>
                      <w:color w:val="000000"/>
                      <w:kern w:val="0"/>
                      <w:sz w:val="21"/>
                    </w:rPr>
                    <w:t>氟化物</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0.25</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0.20</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0.15</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1.0</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widowControl/>
                    <w:spacing w:line="240" w:lineRule="auto"/>
                    <w:ind w:firstLine="0" w:firstLineChars="0"/>
                    <w:jc w:val="center"/>
                    <w:rPr>
                      <w:b/>
                      <w:bCs/>
                      <w:sz w:val="21"/>
                    </w:rPr>
                  </w:pPr>
                  <w:r>
                    <w:rPr>
                      <w:b/>
                      <w:bCs/>
                      <w:color w:val="000000"/>
                      <w:kern w:val="0"/>
                      <w:sz w:val="21"/>
                    </w:rPr>
                    <w:t>硝酸盐（以N计）</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0.45</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0.69</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0.32</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≤20</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总大肠菌群</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≤3.0</w:t>
                  </w:r>
                </w:p>
              </w:tc>
              <w:tc>
                <w:tcPr>
                  <w:tcW w:w="595"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铅</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0.01</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镉</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0.005</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砷</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0.01</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六价铬</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0.05</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泵</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color w:val="000000"/>
                      <w:sz w:val="21"/>
                    </w:rPr>
                    <w:t>0.001</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4" w:type="pct"/>
                  <w:tcBorders>
                    <w:tl2br w:val="nil"/>
                    <w:tr2bl w:val="nil"/>
                  </w:tcBorders>
                  <w:vAlign w:val="center"/>
                </w:tcPr>
                <w:p>
                  <w:pPr>
                    <w:pStyle w:val="25"/>
                    <w:spacing w:after="0" w:line="240" w:lineRule="auto"/>
                    <w:ind w:left="0" w:leftChars="0" w:firstLine="0" w:firstLineChars="0"/>
                    <w:jc w:val="center"/>
                    <w:rPr>
                      <w:b/>
                      <w:bCs/>
                      <w:sz w:val="21"/>
                      <w:szCs w:val="21"/>
                    </w:rPr>
                  </w:pPr>
                  <w:r>
                    <w:rPr>
                      <w:b/>
                      <w:bCs/>
                      <w:sz w:val="21"/>
                      <w:szCs w:val="21"/>
                    </w:rPr>
                    <w:t>石油类</w:t>
                  </w:r>
                </w:p>
              </w:tc>
              <w:tc>
                <w:tcPr>
                  <w:tcW w:w="886"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907"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781"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ND</w:t>
                  </w:r>
                </w:p>
              </w:tc>
              <w:tc>
                <w:tcPr>
                  <w:tcW w:w="814" w:type="pct"/>
                  <w:tcBorders>
                    <w:tl2br w:val="nil"/>
                    <w:tr2bl w:val="nil"/>
                  </w:tcBorders>
                  <w:vAlign w:val="center"/>
                </w:tcPr>
                <w:p>
                  <w:pPr>
                    <w:pStyle w:val="25"/>
                    <w:spacing w:after="0" w:line="240" w:lineRule="auto"/>
                    <w:ind w:left="0" w:leftChars="0" w:firstLine="0" w:firstLineChars="0"/>
                    <w:jc w:val="center"/>
                    <w:rPr>
                      <w:sz w:val="21"/>
                      <w:szCs w:val="21"/>
                    </w:rPr>
                  </w:pPr>
                  <w:r>
                    <w:rPr>
                      <w:sz w:val="21"/>
                      <w:szCs w:val="21"/>
                    </w:rPr>
                    <w:t>-</w:t>
                  </w:r>
                </w:p>
              </w:tc>
              <w:tc>
                <w:tcPr>
                  <w:tcW w:w="595" w:type="pct"/>
                  <w:tcBorders>
                    <w:tl2br w:val="nil"/>
                    <w:tr2bl w:val="nil"/>
                  </w:tcBorders>
                  <w:vAlign w:val="center"/>
                </w:tcPr>
                <w:p>
                  <w:pPr>
                    <w:spacing w:line="240" w:lineRule="auto"/>
                    <w:ind w:firstLine="0" w:firstLineChars="0"/>
                    <w:jc w:val="center"/>
                    <w:rPr>
                      <w:sz w:val="21"/>
                    </w:rPr>
                  </w:pPr>
                  <w:r>
                    <w:rPr>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spacing w:line="240" w:lineRule="auto"/>
                    <w:ind w:firstLine="0" w:firstLineChars="0"/>
                    <w:jc w:val="both"/>
                    <w:rPr>
                      <w:sz w:val="21"/>
                    </w:rPr>
                  </w:pPr>
                  <w:r>
                    <w:rPr>
                      <w:sz w:val="21"/>
                    </w:rPr>
                    <w:t>备注：执行《地下水质量标准》（GB/T14848-2017）表1中III类标准</w:t>
                  </w:r>
                </w:p>
                <w:p>
                  <w:pPr>
                    <w:spacing w:line="240" w:lineRule="auto"/>
                    <w:ind w:firstLine="0" w:firstLineChars="0"/>
                    <w:jc w:val="both"/>
                  </w:pPr>
                  <w:r>
                    <w:rPr>
                      <w:sz w:val="21"/>
                    </w:rPr>
                    <w:t>“ND”表示检测结果低于检出限</w:t>
                  </w:r>
                </w:p>
              </w:tc>
            </w:tr>
          </w:tbl>
          <w:p>
            <w:pPr>
              <w:ind w:firstLine="560"/>
              <w:jc w:val="both"/>
            </w:pPr>
            <w:r>
              <w:t>监测结果表明，各监测因子均满足《地下水质量标准》（GB/T14848-2017）III类水标准限值。</w:t>
            </w:r>
          </w:p>
          <w:p>
            <w:pPr>
              <w:spacing w:line="240" w:lineRule="auto"/>
              <w:ind w:firstLine="0" w:firstLineChars="0"/>
              <w:jc w:val="both"/>
              <w:rPr>
                <w:b/>
                <w:color w:val="000000"/>
                <w:szCs w:val="28"/>
              </w:rPr>
            </w:pPr>
            <w:r>
              <w:rPr>
                <w:b/>
                <w:color w:val="000000"/>
                <w:szCs w:val="28"/>
              </w:rPr>
              <w:t>4、声环境质量现状</w:t>
            </w:r>
          </w:p>
          <w:p>
            <w:pPr>
              <w:ind w:firstLine="560"/>
              <w:jc w:val="both"/>
              <w:rPr>
                <w:color w:val="000000"/>
                <w:szCs w:val="28"/>
              </w:rPr>
            </w:pPr>
            <w:r>
              <w:rPr>
                <w:szCs w:val="28"/>
              </w:rPr>
              <w:t>为了解建设项目所在区域声环境质量现状，湖南谱实检测技术有限公司于2020年9月16日~17日对项目站区</w:t>
            </w:r>
            <w:r>
              <w:rPr>
                <w:rFonts w:hint="eastAsia"/>
                <w:szCs w:val="28"/>
              </w:rPr>
              <w:t>四周及附近居民点</w:t>
            </w:r>
            <w:r>
              <w:rPr>
                <w:szCs w:val="28"/>
              </w:rPr>
              <w:t>进行了为期两天的声环境现状监测，</w:t>
            </w:r>
            <w:r>
              <w:rPr>
                <w:rFonts w:hint="eastAsia"/>
                <w:szCs w:val="28"/>
              </w:rPr>
              <w:t>监测期间</w:t>
            </w:r>
            <w:r>
              <w:rPr>
                <w:szCs w:val="28"/>
              </w:rPr>
              <w:t>加油点正常运营。</w:t>
            </w:r>
          </w:p>
          <w:p>
            <w:pPr>
              <w:ind w:firstLine="560"/>
              <w:jc w:val="both"/>
            </w:pPr>
            <w:r>
              <w:t>（1）监测点位：</w:t>
            </w:r>
          </w:p>
          <w:p>
            <w:pPr>
              <w:spacing w:line="240" w:lineRule="auto"/>
              <w:ind w:firstLine="422"/>
              <w:jc w:val="center"/>
              <w:rPr>
                <w:b/>
                <w:color w:val="000000"/>
                <w:sz w:val="21"/>
              </w:rPr>
            </w:pPr>
            <w:r>
              <w:rPr>
                <w:b/>
                <w:color w:val="000000"/>
                <w:sz w:val="21"/>
              </w:rPr>
              <w:t>表3-10  声环境监测点位布设一览表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421"/>
              <w:gridCol w:w="38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b/>
                      <w:color w:val="000000"/>
                      <w:sz w:val="21"/>
                    </w:rPr>
                  </w:pPr>
                  <w:r>
                    <w:rPr>
                      <w:b/>
                      <w:color w:val="000000"/>
                      <w:sz w:val="21"/>
                    </w:rPr>
                    <w:t>序号</w:t>
                  </w:r>
                </w:p>
              </w:tc>
              <w:tc>
                <w:tcPr>
                  <w:tcW w:w="1988" w:type="pct"/>
                  <w:tcBorders>
                    <w:tl2br w:val="nil"/>
                    <w:tr2bl w:val="nil"/>
                  </w:tcBorders>
                  <w:shd w:val="clear" w:color="auto" w:fill="auto"/>
                </w:tcPr>
                <w:p>
                  <w:pPr>
                    <w:spacing w:line="240" w:lineRule="auto"/>
                    <w:ind w:firstLine="0" w:firstLineChars="0"/>
                    <w:jc w:val="center"/>
                    <w:rPr>
                      <w:b/>
                      <w:color w:val="000000"/>
                      <w:sz w:val="21"/>
                    </w:rPr>
                  </w:pPr>
                  <w:r>
                    <w:rPr>
                      <w:b/>
                      <w:color w:val="000000"/>
                      <w:sz w:val="21"/>
                    </w:rPr>
                    <w:t>点位名称</w:t>
                  </w:r>
                </w:p>
              </w:tc>
              <w:tc>
                <w:tcPr>
                  <w:tcW w:w="2264" w:type="pct"/>
                  <w:tcBorders>
                    <w:tl2br w:val="nil"/>
                    <w:tr2bl w:val="nil"/>
                  </w:tcBorders>
                  <w:shd w:val="clear" w:color="auto" w:fill="auto"/>
                </w:tcPr>
                <w:p>
                  <w:pPr>
                    <w:spacing w:line="240" w:lineRule="auto"/>
                    <w:ind w:firstLine="0" w:firstLineChars="0"/>
                    <w:jc w:val="center"/>
                    <w:rPr>
                      <w:b/>
                      <w:color w:val="000000"/>
                      <w:sz w:val="21"/>
                    </w:rPr>
                  </w:pPr>
                  <w:r>
                    <w:rPr>
                      <w:b/>
                      <w:color w:val="000000"/>
                      <w:sz w:val="21"/>
                    </w:rPr>
                    <w:t>相对方位与距离（站区最近距离）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N1</w:t>
                  </w:r>
                </w:p>
              </w:tc>
              <w:tc>
                <w:tcPr>
                  <w:tcW w:w="1988"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加油</w:t>
                  </w:r>
                  <w:r>
                    <w:rPr>
                      <w:rFonts w:hint="eastAsia"/>
                      <w:color w:val="000000"/>
                      <w:sz w:val="21"/>
                    </w:rPr>
                    <w:t>点厂</w:t>
                  </w:r>
                  <w:r>
                    <w:rPr>
                      <w:color w:val="000000"/>
                      <w:sz w:val="21"/>
                    </w:rPr>
                    <w:t>区东侧</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E  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N2</w:t>
                  </w:r>
                </w:p>
              </w:tc>
              <w:tc>
                <w:tcPr>
                  <w:tcW w:w="1988"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加油</w:t>
                  </w:r>
                  <w:r>
                    <w:rPr>
                      <w:rFonts w:hint="eastAsia"/>
                      <w:color w:val="000000"/>
                      <w:sz w:val="21"/>
                    </w:rPr>
                    <w:t>点厂</w:t>
                  </w:r>
                  <w:r>
                    <w:rPr>
                      <w:color w:val="000000"/>
                      <w:sz w:val="21"/>
                    </w:rPr>
                    <w:t>区西侧</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W  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N3</w:t>
                  </w:r>
                </w:p>
              </w:tc>
              <w:tc>
                <w:tcPr>
                  <w:tcW w:w="1988"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加油</w:t>
                  </w:r>
                  <w:r>
                    <w:rPr>
                      <w:rFonts w:hint="eastAsia"/>
                      <w:color w:val="000000"/>
                      <w:sz w:val="21"/>
                    </w:rPr>
                    <w:t>点厂</w:t>
                  </w:r>
                  <w:r>
                    <w:rPr>
                      <w:color w:val="000000"/>
                      <w:sz w:val="21"/>
                    </w:rPr>
                    <w:t>区南侧</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S  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N4</w:t>
                  </w:r>
                </w:p>
              </w:tc>
              <w:tc>
                <w:tcPr>
                  <w:tcW w:w="1988"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加油</w:t>
                  </w:r>
                  <w:r>
                    <w:rPr>
                      <w:rFonts w:hint="eastAsia"/>
                      <w:color w:val="000000"/>
                      <w:sz w:val="21"/>
                    </w:rPr>
                    <w:t>点厂</w:t>
                  </w:r>
                  <w:r>
                    <w:rPr>
                      <w:color w:val="000000"/>
                      <w:sz w:val="21"/>
                    </w:rPr>
                    <w:t>区北侧</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  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N5</w:t>
                  </w:r>
                </w:p>
              </w:tc>
              <w:tc>
                <w:tcPr>
                  <w:tcW w:w="3409" w:type="dxa"/>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对面居民点</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 xml:space="preserve"> N  </w:t>
                  </w:r>
                  <w:r>
                    <w:rPr>
                      <w:rFonts w:hint="eastAsia"/>
                      <w:color w:val="000000"/>
                      <w:sz w:val="21"/>
                    </w:rPr>
                    <w:t>25</w:t>
                  </w:r>
                  <w:r>
                    <w:rPr>
                      <w:color w:val="000000"/>
                      <w:sz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46"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N6</w:t>
                  </w:r>
                </w:p>
              </w:tc>
              <w:tc>
                <w:tcPr>
                  <w:tcW w:w="3409" w:type="dxa"/>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西侧居民点</w:t>
                  </w:r>
                </w:p>
              </w:tc>
              <w:tc>
                <w:tcPr>
                  <w:tcW w:w="2264" w:type="pct"/>
                  <w:tcBorders>
                    <w:tl2br w:val="nil"/>
                    <w:tr2bl w:val="nil"/>
                  </w:tcBorders>
                  <w:shd w:val="clear" w:color="auto" w:fill="auto"/>
                </w:tcPr>
                <w:p>
                  <w:pPr>
                    <w:spacing w:line="240" w:lineRule="auto"/>
                    <w:ind w:firstLine="0" w:firstLineChars="0"/>
                    <w:jc w:val="center"/>
                    <w:rPr>
                      <w:color w:val="000000"/>
                      <w:sz w:val="21"/>
                    </w:rPr>
                  </w:pPr>
                  <w:r>
                    <w:rPr>
                      <w:color w:val="000000"/>
                      <w:sz w:val="21"/>
                    </w:rPr>
                    <w:t>W</w:t>
                  </w:r>
                  <w:r>
                    <w:rPr>
                      <w:rFonts w:hint="eastAsia"/>
                      <w:color w:val="000000"/>
                      <w:sz w:val="21"/>
                    </w:rPr>
                    <w:t xml:space="preserve"> </w:t>
                  </w:r>
                  <w:r>
                    <w:rPr>
                      <w:color w:val="000000"/>
                      <w:sz w:val="21"/>
                    </w:rPr>
                    <w:t xml:space="preserve"> 10m</w:t>
                  </w:r>
                </w:p>
              </w:tc>
            </w:tr>
          </w:tbl>
          <w:p>
            <w:pPr>
              <w:ind w:firstLine="560"/>
              <w:jc w:val="both"/>
            </w:pPr>
            <w:r>
              <w:t>（2）监测因子：等效连续A声级Leq(A)。</w:t>
            </w:r>
          </w:p>
          <w:p>
            <w:pPr>
              <w:ind w:firstLine="560"/>
              <w:jc w:val="both"/>
            </w:pPr>
            <w:r>
              <w:t>（3）监测频次：连续监测2天，每天昼间和夜间各一次。</w:t>
            </w:r>
          </w:p>
          <w:p>
            <w:pPr>
              <w:ind w:firstLine="560"/>
              <w:jc w:val="both"/>
            </w:pPr>
            <w:r>
              <w:t>（4）监测方法与评价标准：四周厂界应执行</w:t>
            </w:r>
            <w:r>
              <w:rPr>
                <w:rFonts w:hint="eastAsia"/>
                <w:u w:val="none"/>
              </w:rPr>
              <w:t>《工业企业厂界环境噪声排放标准》（GB 12348-2008）中的2类标准</w:t>
            </w:r>
            <w:bookmarkStart w:id="9" w:name="_Ref340763147"/>
            <w:r>
              <w:t>。</w:t>
            </w:r>
          </w:p>
          <w:p>
            <w:pPr>
              <w:ind w:firstLine="560"/>
              <w:jc w:val="both"/>
            </w:pPr>
            <w:r>
              <w:t>（5）监测结果及评价</w:t>
            </w:r>
          </w:p>
          <w:bookmarkEnd w:id="9"/>
          <w:p>
            <w:pPr>
              <w:ind w:firstLine="560"/>
              <w:jc w:val="both"/>
              <w:rPr>
                <w:color w:val="000000"/>
                <w:szCs w:val="28"/>
              </w:rPr>
            </w:pPr>
            <w:r>
              <w:t>声环境现状监测结果统计与评价分析见下表。</w:t>
            </w:r>
          </w:p>
          <w:p>
            <w:pPr>
              <w:spacing w:line="240" w:lineRule="auto"/>
              <w:ind w:firstLine="422"/>
              <w:jc w:val="center"/>
              <w:rPr>
                <w:b/>
                <w:color w:val="000000"/>
                <w:sz w:val="21"/>
              </w:rPr>
            </w:pPr>
            <w:bookmarkStart w:id="10" w:name="_Ref340763213"/>
            <w:r>
              <w:rPr>
                <w:b/>
                <w:color w:val="000000"/>
                <w:sz w:val="21"/>
              </w:rPr>
              <w:t>表</w:t>
            </w:r>
            <w:bookmarkEnd w:id="10"/>
            <w:r>
              <w:rPr>
                <w:b/>
                <w:color w:val="000000"/>
                <w:sz w:val="21"/>
              </w:rPr>
              <w:t>3-11  声环境现状质量监测结果统计与分析    单位：dB（A）</w:t>
            </w:r>
          </w:p>
          <w:tbl>
            <w:tblPr>
              <w:tblStyle w:val="26"/>
              <w:tblW w:w="4998" w:type="pct"/>
              <w:tblInd w:w="1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842"/>
              <w:gridCol w:w="964"/>
              <w:gridCol w:w="895"/>
              <w:gridCol w:w="502"/>
              <w:gridCol w:w="581"/>
              <w:gridCol w:w="1085"/>
              <w:gridCol w:w="1084"/>
              <w:gridCol w:w="532"/>
              <w:gridCol w:w="55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blHeader/>
              </w:trPr>
              <w:tc>
                <w:tcPr>
                  <w:tcW w:w="327" w:type="pct"/>
                  <w:vMerge w:val="restar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编号</w:t>
                  </w:r>
                </w:p>
              </w:tc>
              <w:tc>
                <w:tcPr>
                  <w:tcW w:w="1069" w:type="pct"/>
                  <w:vMerge w:val="restar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监测点位置</w:t>
                  </w:r>
                </w:p>
              </w:tc>
              <w:tc>
                <w:tcPr>
                  <w:tcW w:w="1710" w:type="pct"/>
                  <w:gridSpan w:val="4"/>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昼间Leq</w:t>
                  </w:r>
                </w:p>
              </w:tc>
              <w:tc>
                <w:tcPr>
                  <w:tcW w:w="1891" w:type="pct"/>
                  <w:gridSpan w:val="4"/>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夜间Leq</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blHeader/>
              </w:trPr>
              <w:tc>
                <w:tcPr>
                  <w:tcW w:w="327" w:type="pct"/>
                  <w:vMerge w:val="continue"/>
                  <w:tcBorders>
                    <w:tl2br w:val="nil"/>
                    <w:tr2bl w:val="nil"/>
                  </w:tcBorders>
                  <w:shd w:val="clear" w:color="auto" w:fill="auto"/>
                  <w:vAlign w:val="center"/>
                </w:tcPr>
                <w:p>
                  <w:pPr>
                    <w:spacing w:line="240" w:lineRule="auto"/>
                    <w:ind w:firstLine="0" w:firstLineChars="0"/>
                    <w:rPr>
                      <w:sz w:val="21"/>
                    </w:rPr>
                  </w:pPr>
                </w:p>
              </w:tc>
              <w:tc>
                <w:tcPr>
                  <w:tcW w:w="1069" w:type="pct"/>
                  <w:vMerge w:val="continue"/>
                  <w:tcBorders>
                    <w:tl2br w:val="nil"/>
                    <w:tr2bl w:val="nil"/>
                  </w:tcBorders>
                  <w:shd w:val="clear" w:color="auto" w:fill="auto"/>
                  <w:vAlign w:val="center"/>
                </w:tcPr>
                <w:p>
                  <w:pPr>
                    <w:spacing w:line="240" w:lineRule="auto"/>
                    <w:ind w:firstLine="0" w:firstLineChars="0"/>
                    <w:rPr>
                      <w:sz w:val="21"/>
                    </w:rPr>
                  </w:pPr>
                </w:p>
              </w:tc>
              <w:tc>
                <w:tcPr>
                  <w:tcW w:w="560" w:type="pct"/>
                  <w:tcBorders>
                    <w:tl2br w:val="nil"/>
                    <w:tr2bl w:val="nil"/>
                  </w:tcBorders>
                  <w:shd w:val="clear" w:color="auto" w:fill="auto"/>
                  <w:vAlign w:val="center"/>
                </w:tcPr>
                <w:p>
                  <w:pPr>
                    <w:spacing w:line="240" w:lineRule="auto"/>
                    <w:ind w:firstLine="0" w:firstLineChars="0"/>
                    <w:jc w:val="center"/>
                    <w:rPr>
                      <w:b/>
                      <w:color w:val="000000"/>
                      <w:sz w:val="21"/>
                    </w:rPr>
                  </w:pPr>
                  <w:r>
                    <w:rPr>
                      <w:rFonts w:hint="eastAsia"/>
                      <w:b/>
                      <w:color w:val="000000"/>
                      <w:sz w:val="21"/>
                    </w:rPr>
                    <w:t>2020.</w:t>
                  </w:r>
                  <w:r>
                    <w:rPr>
                      <w:b/>
                      <w:color w:val="000000"/>
                      <w:sz w:val="21"/>
                    </w:rPr>
                    <w:t>9.16</w:t>
                  </w:r>
                </w:p>
              </w:tc>
              <w:tc>
                <w:tcPr>
                  <w:tcW w:w="520" w:type="pct"/>
                  <w:tcBorders>
                    <w:tl2br w:val="nil"/>
                    <w:tr2bl w:val="nil"/>
                  </w:tcBorders>
                  <w:shd w:val="clear" w:color="auto" w:fill="auto"/>
                  <w:vAlign w:val="center"/>
                </w:tcPr>
                <w:p>
                  <w:pPr>
                    <w:spacing w:line="240" w:lineRule="auto"/>
                    <w:ind w:firstLine="0" w:firstLineChars="0"/>
                    <w:jc w:val="center"/>
                    <w:rPr>
                      <w:b/>
                      <w:color w:val="000000"/>
                      <w:sz w:val="21"/>
                    </w:rPr>
                  </w:pPr>
                  <w:r>
                    <w:rPr>
                      <w:rFonts w:hint="eastAsia"/>
                      <w:b/>
                      <w:color w:val="000000"/>
                      <w:sz w:val="21"/>
                    </w:rPr>
                    <w:t>2020.</w:t>
                  </w:r>
                  <w:r>
                    <w:rPr>
                      <w:b/>
                      <w:color w:val="000000"/>
                      <w:sz w:val="21"/>
                    </w:rPr>
                    <w:t>9.17</w:t>
                  </w:r>
                </w:p>
              </w:tc>
              <w:tc>
                <w:tcPr>
                  <w:tcW w:w="292"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标准</w:t>
                  </w:r>
                </w:p>
              </w:tc>
              <w:tc>
                <w:tcPr>
                  <w:tcW w:w="337"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评价</w:t>
                  </w:r>
                </w:p>
                <w:p>
                  <w:pPr>
                    <w:spacing w:line="240" w:lineRule="auto"/>
                    <w:ind w:firstLine="0" w:firstLineChars="0"/>
                    <w:jc w:val="center"/>
                    <w:rPr>
                      <w:b/>
                      <w:color w:val="000000"/>
                      <w:sz w:val="21"/>
                    </w:rPr>
                  </w:pPr>
                  <w:r>
                    <w:rPr>
                      <w:b/>
                      <w:color w:val="000000"/>
                      <w:sz w:val="21"/>
                    </w:rPr>
                    <w:t>结果</w:t>
                  </w:r>
                </w:p>
              </w:tc>
              <w:tc>
                <w:tcPr>
                  <w:tcW w:w="631" w:type="pct"/>
                  <w:tcBorders>
                    <w:tl2br w:val="nil"/>
                    <w:tr2bl w:val="nil"/>
                  </w:tcBorders>
                  <w:shd w:val="clear" w:color="auto" w:fill="auto"/>
                  <w:vAlign w:val="center"/>
                </w:tcPr>
                <w:p>
                  <w:pPr>
                    <w:spacing w:line="240" w:lineRule="auto"/>
                    <w:ind w:firstLine="0" w:firstLineChars="0"/>
                    <w:jc w:val="center"/>
                    <w:rPr>
                      <w:b/>
                      <w:color w:val="000000"/>
                      <w:sz w:val="21"/>
                    </w:rPr>
                  </w:pPr>
                  <w:r>
                    <w:rPr>
                      <w:rFonts w:hint="eastAsia"/>
                      <w:b/>
                      <w:color w:val="000000"/>
                      <w:sz w:val="21"/>
                    </w:rPr>
                    <w:t>2020.</w:t>
                  </w:r>
                  <w:r>
                    <w:rPr>
                      <w:b/>
                      <w:color w:val="000000"/>
                      <w:sz w:val="21"/>
                    </w:rPr>
                    <w:t>9.16</w:t>
                  </w:r>
                </w:p>
              </w:tc>
              <w:tc>
                <w:tcPr>
                  <w:tcW w:w="630" w:type="pct"/>
                  <w:tcBorders>
                    <w:tl2br w:val="nil"/>
                    <w:tr2bl w:val="nil"/>
                  </w:tcBorders>
                  <w:shd w:val="clear" w:color="auto" w:fill="auto"/>
                  <w:vAlign w:val="center"/>
                </w:tcPr>
                <w:p>
                  <w:pPr>
                    <w:spacing w:line="240" w:lineRule="auto"/>
                    <w:ind w:firstLine="0" w:firstLineChars="0"/>
                    <w:jc w:val="center"/>
                    <w:rPr>
                      <w:b/>
                      <w:color w:val="000000"/>
                      <w:sz w:val="21"/>
                    </w:rPr>
                  </w:pPr>
                  <w:r>
                    <w:rPr>
                      <w:rFonts w:hint="eastAsia"/>
                      <w:b/>
                      <w:color w:val="000000"/>
                      <w:sz w:val="21"/>
                    </w:rPr>
                    <w:t>2020.</w:t>
                  </w:r>
                  <w:r>
                    <w:rPr>
                      <w:b/>
                      <w:color w:val="000000"/>
                      <w:sz w:val="21"/>
                    </w:rPr>
                    <w:t>9.17</w:t>
                  </w:r>
                </w:p>
              </w:tc>
              <w:tc>
                <w:tcPr>
                  <w:tcW w:w="309"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标准</w:t>
                  </w:r>
                </w:p>
              </w:tc>
              <w:tc>
                <w:tcPr>
                  <w:tcW w:w="320"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评价结果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N1</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东侧1m</w:t>
                  </w:r>
                </w:p>
              </w:tc>
              <w:tc>
                <w:tcPr>
                  <w:tcW w:w="56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54.5</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53.7</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43.1</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42.6</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N2</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南侧1m</w:t>
                  </w:r>
                </w:p>
              </w:tc>
              <w:tc>
                <w:tcPr>
                  <w:tcW w:w="56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56.7</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56.3</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44.2</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43.7</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N3</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西侧1m</w:t>
                  </w:r>
                </w:p>
              </w:tc>
              <w:tc>
                <w:tcPr>
                  <w:tcW w:w="56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55.1</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55.6</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42.9</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42.3</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N4</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北侧1m</w:t>
                  </w:r>
                </w:p>
              </w:tc>
              <w:tc>
                <w:tcPr>
                  <w:tcW w:w="56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55.6</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54.8</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45.0</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45.6</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N5</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对面居民点</w:t>
                  </w:r>
                </w:p>
              </w:tc>
              <w:tc>
                <w:tcPr>
                  <w:tcW w:w="56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53.8</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53.4</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43.1</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kern w:val="0"/>
                      <w:sz w:val="21"/>
                    </w:rPr>
                  </w:pPr>
                  <w:r>
                    <w:rPr>
                      <w:color w:val="000000"/>
                      <w:kern w:val="0"/>
                      <w:sz w:val="21"/>
                    </w:rPr>
                    <w:t>43.4</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N6</w:t>
                  </w:r>
                </w:p>
              </w:tc>
              <w:tc>
                <w:tcPr>
                  <w:tcW w:w="106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西侧居民点</w:t>
                  </w:r>
                </w:p>
              </w:tc>
              <w:tc>
                <w:tcPr>
                  <w:tcW w:w="56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53.4</w:t>
                  </w:r>
                </w:p>
              </w:tc>
              <w:tc>
                <w:tcPr>
                  <w:tcW w:w="520" w:type="pc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53.2</w:t>
                  </w:r>
                </w:p>
              </w:tc>
              <w:tc>
                <w:tcPr>
                  <w:tcW w:w="292"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60</w:t>
                  </w:r>
                </w:p>
              </w:tc>
              <w:tc>
                <w:tcPr>
                  <w:tcW w:w="337"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c>
                <w:tcPr>
                  <w:tcW w:w="631"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42.7</w:t>
                  </w:r>
                </w:p>
              </w:tc>
              <w:tc>
                <w:tcPr>
                  <w:tcW w:w="630" w:type="pct"/>
                  <w:tcBorders>
                    <w:tl2br w:val="nil"/>
                    <w:tr2bl w:val="nil"/>
                  </w:tcBorders>
                  <w:shd w:val="clear" w:color="auto" w:fill="auto"/>
                  <w:vAlign w:val="center"/>
                </w:tcPr>
                <w:p>
                  <w:pPr>
                    <w:widowControl/>
                    <w:spacing w:line="240" w:lineRule="auto"/>
                    <w:ind w:firstLine="0" w:firstLineChars="0"/>
                    <w:jc w:val="center"/>
                    <w:textAlignment w:val="center"/>
                    <w:rPr>
                      <w:color w:val="000000"/>
                      <w:kern w:val="0"/>
                      <w:sz w:val="21"/>
                    </w:rPr>
                  </w:pPr>
                  <w:r>
                    <w:rPr>
                      <w:color w:val="000000"/>
                      <w:kern w:val="0"/>
                      <w:sz w:val="21"/>
                    </w:rPr>
                    <w:t>43.5</w:t>
                  </w:r>
                </w:p>
              </w:tc>
              <w:tc>
                <w:tcPr>
                  <w:tcW w:w="309"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50</w:t>
                  </w:r>
                </w:p>
              </w:tc>
              <w:tc>
                <w:tcPr>
                  <w:tcW w:w="320"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达标</w:t>
                  </w:r>
                </w:p>
              </w:tc>
            </w:tr>
          </w:tbl>
          <w:p>
            <w:pPr>
              <w:ind w:firstLine="560"/>
              <w:jc w:val="both"/>
            </w:pPr>
            <w:r>
              <w:t>由上表可知，项目四周厂界</w:t>
            </w:r>
            <w:r>
              <w:rPr>
                <w:u w:val="none"/>
              </w:rPr>
              <w:t>满足</w:t>
            </w:r>
            <w:r>
              <w:t>，敏感点满足《声环境质量标准》（GB3096-2008）中2类标准，评价区声环境质量现状较好。</w:t>
            </w:r>
          </w:p>
          <w:p>
            <w:pPr>
              <w:spacing w:line="360" w:lineRule="auto"/>
              <w:ind w:firstLine="0" w:firstLineChars="0"/>
              <w:jc w:val="both"/>
              <w:rPr>
                <w:b/>
                <w:color w:val="000000"/>
                <w:szCs w:val="28"/>
              </w:rPr>
            </w:pPr>
            <w:r>
              <w:rPr>
                <w:b/>
                <w:color w:val="000000"/>
                <w:szCs w:val="28"/>
              </w:rPr>
              <w:t>5、生态环境质量</w:t>
            </w:r>
          </w:p>
          <w:p>
            <w:pPr>
              <w:ind w:firstLine="560"/>
              <w:jc w:val="both"/>
              <w:rPr>
                <w:b/>
                <w:color w:val="000000"/>
                <w:szCs w:val="28"/>
              </w:rPr>
            </w:pPr>
            <w:r>
              <w:t>项目所在区域野生动物较少，主要有黄鼠狼、野兔、老鼠、蛇类、青蛙、山雀、八哥等。家畜主要有猪、牛、羊、鸡、鸭、兔等。水生鱼类资源主要有草鱼、鲤鱼、鲫鱼、鲭鱼、鲢鱼等。项目所在区域未发现野生的珍稀濒危动植物种类。区域地带性植被为常绿阔叶林，受人为活动影响，目前区内植被类型较为单一，以针叶林为主。林木多以马尾松、杉木为主，常绿阔叶林的痕迹在灌丛中尚有残存。周边无风景名胜和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2670" w:hRule="atLeast"/>
        </w:trPr>
        <w:tc>
          <w:tcPr>
            <w:tcW w:w="8820" w:type="dxa"/>
            <w:tcBorders>
              <w:tl2br w:val="nil"/>
              <w:tr2bl w:val="nil"/>
            </w:tcBorders>
          </w:tcPr>
          <w:p>
            <w:pPr>
              <w:ind w:firstLine="0" w:firstLineChars="0"/>
              <w:jc w:val="both"/>
              <w:rPr>
                <w:b/>
                <w:bCs/>
              </w:rPr>
            </w:pPr>
            <w:r>
              <w:rPr>
                <w:b/>
                <w:bCs/>
              </w:rPr>
              <w:t>主要环境保护目标(列出名单及保护级别)：</w:t>
            </w:r>
          </w:p>
          <w:p>
            <w:pPr>
              <w:ind w:firstLine="560"/>
              <w:jc w:val="both"/>
            </w:pPr>
            <w:r>
              <w:t>本项目所在地为乡镇区，5km范围内密集分布着鲊埠社区的居民区，根据项目性质及周围环境特征，确定项目的环境保护目标。</w:t>
            </w:r>
          </w:p>
          <w:p>
            <w:pPr>
              <w:spacing w:line="360" w:lineRule="auto"/>
              <w:ind w:firstLine="0" w:firstLineChars="0"/>
              <w:jc w:val="both"/>
              <w:rPr>
                <w:b/>
                <w:color w:val="000000"/>
                <w:szCs w:val="28"/>
              </w:rPr>
            </w:pPr>
            <w:r>
              <w:rPr>
                <w:b/>
                <w:color w:val="000000"/>
                <w:szCs w:val="28"/>
              </w:rPr>
              <w:t>1、环境空气保护目标</w:t>
            </w:r>
          </w:p>
          <w:p>
            <w:pPr>
              <w:ind w:firstLine="560"/>
              <w:jc w:val="both"/>
            </w:pPr>
            <w:r>
              <w:t>项目周边环境空气保护目标见下表及附图3。</w:t>
            </w:r>
          </w:p>
          <w:p>
            <w:pPr>
              <w:spacing w:line="240" w:lineRule="auto"/>
              <w:ind w:firstLine="422"/>
              <w:jc w:val="center"/>
              <w:rPr>
                <w:b/>
                <w:color w:val="000000"/>
                <w:sz w:val="21"/>
              </w:rPr>
            </w:pPr>
            <w:r>
              <w:rPr>
                <w:b/>
                <w:color w:val="000000"/>
                <w:sz w:val="21"/>
              </w:rPr>
              <w:t>表3-12  项目周边环境大气保护目标</w:t>
            </w:r>
          </w:p>
          <w:tbl>
            <w:tblPr>
              <w:tblStyle w:val="2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748"/>
              <w:gridCol w:w="1670"/>
              <w:gridCol w:w="719"/>
              <w:gridCol w:w="986"/>
              <w:gridCol w:w="1020"/>
              <w:gridCol w:w="564"/>
              <w:gridCol w:w="117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tblHeader/>
                <w:jc w:val="center"/>
              </w:trPr>
              <w:tc>
                <w:tcPr>
                  <w:tcW w:w="422"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bookmarkStart w:id="11" w:name="_Hlk1568467"/>
                  <w:r>
                    <w:rPr>
                      <w:b/>
                      <w:bCs/>
                      <w:sz w:val="21"/>
                    </w:rPr>
                    <w:t>名称</w:t>
                  </w:r>
                </w:p>
              </w:tc>
              <w:tc>
                <w:tcPr>
                  <w:tcW w:w="1983"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经纬度</w:t>
                  </w:r>
                </w:p>
              </w:tc>
              <w:tc>
                <w:tcPr>
                  <w:tcW w:w="418"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保护对象</w:t>
                  </w:r>
                </w:p>
              </w:tc>
              <w:tc>
                <w:tcPr>
                  <w:tcW w:w="573"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保护</w:t>
                  </w:r>
                </w:p>
                <w:p>
                  <w:pPr>
                    <w:snapToGrid w:val="0"/>
                    <w:spacing w:line="240" w:lineRule="auto"/>
                    <w:ind w:firstLine="0" w:firstLineChars="0"/>
                    <w:jc w:val="center"/>
                    <w:rPr>
                      <w:b/>
                      <w:bCs/>
                      <w:sz w:val="21"/>
                    </w:rPr>
                  </w:pPr>
                  <w:r>
                    <w:rPr>
                      <w:b/>
                      <w:bCs/>
                      <w:sz w:val="21"/>
                    </w:rPr>
                    <w:t>内容</w:t>
                  </w:r>
                </w:p>
              </w:tc>
              <w:tc>
                <w:tcPr>
                  <w:tcW w:w="593"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环境功</w:t>
                  </w:r>
                </w:p>
                <w:p>
                  <w:pPr>
                    <w:snapToGrid w:val="0"/>
                    <w:spacing w:line="240" w:lineRule="auto"/>
                    <w:ind w:firstLine="0" w:firstLineChars="0"/>
                    <w:jc w:val="center"/>
                    <w:rPr>
                      <w:b/>
                      <w:bCs/>
                      <w:sz w:val="21"/>
                    </w:rPr>
                  </w:pPr>
                  <w:r>
                    <w:rPr>
                      <w:b/>
                      <w:bCs/>
                      <w:sz w:val="21"/>
                    </w:rPr>
                    <w:t>能区</w:t>
                  </w:r>
                </w:p>
              </w:tc>
              <w:tc>
                <w:tcPr>
                  <w:tcW w:w="328"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相对厂址方位</w:t>
                  </w:r>
                </w:p>
              </w:tc>
              <w:tc>
                <w:tcPr>
                  <w:tcW w:w="680"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相对厂界距离/m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1" w:hRule="atLeast"/>
                <w:tblHeader/>
                <w:jc w:val="center"/>
              </w:trPr>
              <w:tc>
                <w:tcPr>
                  <w:tcW w:w="422"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1014"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经度</w:t>
                  </w:r>
                </w:p>
              </w:tc>
              <w:tc>
                <w:tcPr>
                  <w:tcW w:w="968"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纬度</w:t>
                  </w:r>
                </w:p>
              </w:tc>
              <w:tc>
                <w:tcPr>
                  <w:tcW w:w="418"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57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680" w:type="pct"/>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鲊埠社区</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111°48′36.41266″</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28°30′37.73540″</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约250户，约1000人</w:t>
                  </w:r>
                </w:p>
              </w:tc>
              <w:tc>
                <w:tcPr>
                  <w:tcW w:w="593" w:type="pct"/>
                  <w:vMerge w:val="restart"/>
                  <w:tcBorders>
                    <w:tl2br w:val="nil"/>
                    <w:tr2bl w:val="nil"/>
                  </w:tcBorders>
                  <w:shd w:val="clear" w:color="auto" w:fill="auto"/>
                  <w:vAlign w:val="center"/>
                </w:tcPr>
                <w:p>
                  <w:pPr>
                    <w:snapToGrid w:val="0"/>
                    <w:spacing w:line="240" w:lineRule="auto"/>
                    <w:ind w:firstLine="0" w:firstLineChars="0"/>
                    <w:jc w:val="center"/>
                    <w:rPr>
                      <w:sz w:val="21"/>
                    </w:rPr>
                  </w:pPr>
                  <w:r>
                    <w:rPr>
                      <w:sz w:val="21"/>
                    </w:rPr>
                    <w:t>《环境空气质量标准》（GB3095-2012）中二级标准</w:t>
                  </w: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SW</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50</w:t>
                  </w:r>
                  <w:r>
                    <w:rPr>
                      <w:sz w:val="21"/>
                    </w:rPr>
                    <w:t>~1000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桃江二中</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111°48′53.44576″</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28°30′45.80778″</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学校</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约250户，约1000人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E</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3</w:t>
                  </w:r>
                  <w:r>
                    <w:rPr>
                      <w:rFonts w:hint="eastAsia"/>
                      <w:sz w:val="21"/>
                    </w:rPr>
                    <w:t>6</w:t>
                  </w:r>
                  <w:r>
                    <w:rPr>
                      <w:sz w:val="21"/>
                    </w:rPr>
                    <w:t>0~640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加油</w:t>
                  </w:r>
                  <w:r>
                    <w:rPr>
                      <w:rFonts w:hint="eastAsia"/>
                      <w:b/>
                      <w:bCs/>
                      <w:sz w:val="21"/>
                    </w:rPr>
                    <w:t>点</w:t>
                  </w:r>
                  <w:r>
                    <w:rPr>
                      <w:b/>
                      <w:bCs/>
                      <w:sz w:val="21"/>
                    </w:rPr>
                    <w:t>东边居民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111°48′43.50013″</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28°30′44.78425″</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约50户，约200人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E</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10</w:t>
                  </w:r>
                  <w:r>
                    <w:rPr>
                      <w:sz w:val="21"/>
                    </w:rPr>
                    <w:t>~600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筑基伦小学</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111°48′51.49526″</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28°31′1.31524″</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学校</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约40户，约160人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NE</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660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连二塘</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111°48′36.25138″</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28°30′21.80379″</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约90户，约360人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S</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570~1000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加油</w:t>
                  </w:r>
                  <w:r>
                    <w:rPr>
                      <w:rFonts w:hint="eastAsia"/>
                      <w:b/>
                      <w:bCs/>
                      <w:sz w:val="21"/>
                    </w:rPr>
                    <w:t>点</w:t>
                  </w:r>
                  <w:r>
                    <w:rPr>
                      <w:b/>
                      <w:bCs/>
                      <w:sz w:val="21"/>
                    </w:rPr>
                    <w:t>西北边居民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111°48′26.89867″</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28°30′56.27316″</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约50户，约200人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NW</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4</w:t>
                  </w:r>
                  <w:r>
                    <w:rPr>
                      <w:sz w:val="21"/>
                    </w:rPr>
                    <w:t>0~1000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龙拱滩村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111°47′29.85253″</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28°30′27.66065″</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约200户，8000人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W</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筒车埠村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111°47′19.03786″</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28°31′18.83719″</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约50户，200人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NW</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1000~3500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杨家坪村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111°47′43.83435″</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28°31′38.92157″</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约60户，约240人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NW</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1000~3500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颜溪村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111°48′55.21115″</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28°31′55.22082″</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约90户，360人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N</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陶公庙村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111°49′42.33220″</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28°31′8.33152″</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约40户，约160人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E</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大竹山</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111°49′52.83787″</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28°30′48.04320″</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约20户，约80人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E</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1500~2500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兴坪村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111°49′12.82360″</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28°29′38.59759″</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约100户，约400人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S</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1500~2500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2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首溪港村</w:t>
                  </w:r>
                </w:p>
              </w:tc>
              <w:tc>
                <w:tcPr>
                  <w:tcW w:w="1014"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111°48′46.48217″</w:t>
                  </w:r>
                </w:p>
              </w:tc>
              <w:tc>
                <w:tcPr>
                  <w:tcW w:w="96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28°29′57.90950″</w:t>
                  </w:r>
                </w:p>
              </w:tc>
              <w:tc>
                <w:tcPr>
                  <w:tcW w:w="41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居民</w:t>
                  </w:r>
                </w:p>
              </w:tc>
              <w:tc>
                <w:tcPr>
                  <w:tcW w:w="57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约50户，约200人</w:t>
                  </w:r>
                </w:p>
              </w:tc>
              <w:tc>
                <w:tcPr>
                  <w:tcW w:w="593"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32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S</w:t>
                  </w:r>
                </w:p>
              </w:tc>
              <w:tc>
                <w:tcPr>
                  <w:tcW w:w="680"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1000~2000</w:t>
                  </w:r>
                </w:p>
              </w:tc>
            </w:tr>
            <w:bookmarkEnd w:id="11"/>
          </w:tbl>
          <w:p>
            <w:pPr>
              <w:spacing w:line="360" w:lineRule="auto"/>
              <w:ind w:firstLine="0" w:firstLineChars="0"/>
              <w:jc w:val="both"/>
              <w:rPr>
                <w:b/>
                <w:color w:val="000000"/>
                <w:szCs w:val="28"/>
              </w:rPr>
            </w:pPr>
            <w:r>
              <w:rPr>
                <w:b/>
                <w:color w:val="000000"/>
                <w:szCs w:val="28"/>
              </w:rPr>
              <w:t>2、地表水环境保护目标</w:t>
            </w:r>
          </w:p>
          <w:p>
            <w:pPr>
              <w:ind w:firstLine="560"/>
              <w:jc w:val="both"/>
            </w:pPr>
            <w:r>
              <w:t>评价河段不涉及《环境影响评价技术导则 地表水环境》（HJ 2.3-2018）中的“饮用水水源保护区、饮用水取水口，不涉及自然保护区、风景名胜区，重要湿地、重点保护与珍稀水生生物的栖息地、重要水生生物的自然产卵场及索饵场、越冬场和洄游通道（鱼类三场），天然渔场等渔业水体，以及水产种质资源保护区等”水环境保护目标。项目位于碧螺水库东南侧14km，水库为该地区的饮用水源，本项目区排水与该饮用水源无水力联系。项目周边地表水环境保护目标见表3-13。</w:t>
            </w:r>
          </w:p>
          <w:p>
            <w:pPr>
              <w:spacing w:line="360" w:lineRule="auto"/>
              <w:ind w:firstLine="0" w:firstLineChars="0"/>
              <w:jc w:val="both"/>
              <w:rPr>
                <w:b/>
                <w:color w:val="000000"/>
                <w:szCs w:val="28"/>
                <w:u w:val="single"/>
              </w:rPr>
            </w:pPr>
            <w:r>
              <w:rPr>
                <w:b/>
                <w:color w:val="000000"/>
                <w:szCs w:val="28"/>
                <w:u w:val="single"/>
              </w:rPr>
              <w:t>3、</w:t>
            </w:r>
            <w:r>
              <w:rPr>
                <w:rFonts w:hint="eastAsia"/>
                <w:b/>
                <w:color w:val="000000"/>
                <w:szCs w:val="28"/>
                <w:u w:val="single"/>
              </w:rPr>
              <w:t>地下水</w:t>
            </w:r>
          </w:p>
          <w:p>
            <w:pPr>
              <w:pStyle w:val="2"/>
              <w:ind w:firstLine="560"/>
              <w:jc w:val="both"/>
            </w:pPr>
            <w:r>
              <w:rPr>
                <w:rFonts w:hint="eastAsia"/>
                <w:u w:val="single"/>
              </w:rPr>
              <w:t>项目周边6km</w:t>
            </w:r>
            <w:r>
              <w:rPr>
                <w:rFonts w:hint="eastAsia"/>
                <w:u w:val="single"/>
                <w:vertAlign w:val="superscript"/>
              </w:rPr>
              <w:t>2</w:t>
            </w:r>
            <w:r>
              <w:rPr>
                <w:rFonts w:hint="eastAsia"/>
                <w:u w:val="single"/>
              </w:rPr>
              <w:t>范围内无饮用水源保护要求。保护目标为项目用地范围及周边地下水不受污染。民用水为乡镇供水，地下水井已停用。</w:t>
            </w:r>
          </w:p>
          <w:p>
            <w:pPr>
              <w:spacing w:line="360" w:lineRule="auto"/>
              <w:ind w:firstLine="0" w:firstLineChars="0"/>
              <w:jc w:val="both"/>
              <w:rPr>
                <w:b/>
                <w:color w:val="000000"/>
                <w:szCs w:val="28"/>
              </w:rPr>
            </w:pPr>
            <w:r>
              <w:rPr>
                <w:rFonts w:hint="eastAsia"/>
                <w:b/>
                <w:color w:val="000000"/>
                <w:szCs w:val="28"/>
              </w:rPr>
              <w:t>4、</w:t>
            </w:r>
            <w:r>
              <w:rPr>
                <w:b/>
                <w:color w:val="000000"/>
                <w:szCs w:val="28"/>
              </w:rPr>
              <w:t>声环境保护目标</w:t>
            </w:r>
          </w:p>
          <w:p>
            <w:pPr>
              <w:ind w:firstLine="560"/>
              <w:jc w:val="both"/>
            </w:pPr>
            <w:r>
              <w:t>项目周边200m范围内声环境保护目标见表3-13。</w:t>
            </w:r>
          </w:p>
          <w:p>
            <w:pPr>
              <w:spacing w:line="360" w:lineRule="auto"/>
              <w:ind w:firstLine="0" w:firstLineChars="0"/>
              <w:jc w:val="both"/>
              <w:rPr>
                <w:b/>
                <w:color w:val="000000"/>
                <w:szCs w:val="28"/>
                <w:u w:val="single"/>
              </w:rPr>
            </w:pPr>
            <w:r>
              <w:rPr>
                <w:rFonts w:hint="eastAsia"/>
                <w:b/>
                <w:color w:val="000000"/>
                <w:szCs w:val="28"/>
                <w:u w:val="single"/>
              </w:rPr>
              <w:t>5、土壤环境保护目标</w:t>
            </w:r>
          </w:p>
          <w:p>
            <w:pPr>
              <w:ind w:firstLine="560"/>
              <w:jc w:val="both"/>
            </w:pPr>
            <w:r>
              <w:rPr>
                <w:rFonts w:hint="eastAsia"/>
                <w:u w:val="single"/>
              </w:rPr>
              <w:t>项目周围50m范围内土壤环境保护目标有农田、菜地，见</w:t>
            </w:r>
            <w:r>
              <w:rPr>
                <w:u w:val="single"/>
              </w:rPr>
              <w:t>表3-13。</w:t>
            </w:r>
          </w:p>
          <w:p>
            <w:pPr>
              <w:spacing w:line="240" w:lineRule="auto"/>
              <w:ind w:firstLine="422"/>
              <w:jc w:val="center"/>
              <w:rPr>
                <w:b/>
                <w:color w:val="000000"/>
                <w:sz w:val="21"/>
              </w:rPr>
            </w:pPr>
          </w:p>
          <w:p>
            <w:pPr>
              <w:spacing w:line="240" w:lineRule="auto"/>
              <w:ind w:firstLine="422"/>
              <w:jc w:val="center"/>
              <w:rPr>
                <w:b/>
                <w:color w:val="000000"/>
                <w:sz w:val="21"/>
              </w:rPr>
            </w:pPr>
            <w:r>
              <w:rPr>
                <w:b/>
                <w:color w:val="000000"/>
                <w:sz w:val="21"/>
              </w:rPr>
              <w:t>表3-13 项目声环境、水环境保护目标</w:t>
            </w:r>
          </w:p>
          <w:tbl>
            <w:tblPr>
              <w:tblStyle w:val="26"/>
              <w:tblW w:w="496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95"/>
              <w:gridCol w:w="1783"/>
              <w:gridCol w:w="1653"/>
              <w:gridCol w:w="902"/>
              <w:gridCol w:w="1639"/>
              <w:gridCol w:w="12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8" w:type="pct"/>
                  <w:vMerge w:val="restart"/>
                  <w:tcBorders>
                    <w:tl2br w:val="nil"/>
                    <w:tr2bl w:val="nil"/>
                  </w:tcBorders>
                  <w:shd w:val="clear" w:color="auto" w:fill="auto"/>
                  <w:vAlign w:val="center"/>
                </w:tcPr>
                <w:p>
                  <w:pPr>
                    <w:spacing w:line="240" w:lineRule="auto"/>
                    <w:ind w:firstLine="0" w:firstLineChars="0"/>
                    <w:jc w:val="center"/>
                    <w:rPr>
                      <w:b/>
                      <w:bCs/>
                      <w:sz w:val="21"/>
                    </w:rPr>
                  </w:pPr>
                  <w:bookmarkStart w:id="12" w:name="_Hlk1568486"/>
                  <w:r>
                    <w:rPr>
                      <w:b/>
                      <w:bCs/>
                      <w:sz w:val="21"/>
                    </w:rPr>
                    <w:t>环境要素</w:t>
                  </w:r>
                </w:p>
              </w:tc>
              <w:tc>
                <w:tcPr>
                  <w:tcW w:w="524"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环境敏感点</w:t>
                  </w:r>
                </w:p>
              </w:tc>
              <w:tc>
                <w:tcPr>
                  <w:tcW w:w="2010" w:type="pct"/>
                  <w:gridSpan w:val="2"/>
                  <w:tcBorders>
                    <w:tl2br w:val="nil"/>
                    <w:tr2bl w:val="nil"/>
                  </w:tcBorders>
                  <w:shd w:val="clear" w:color="auto" w:fill="auto"/>
                  <w:vAlign w:val="center"/>
                </w:tcPr>
                <w:p>
                  <w:pPr>
                    <w:spacing w:line="240" w:lineRule="auto"/>
                    <w:ind w:firstLine="0" w:firstLineChars="0"/>
                    <w:jc w:val="center"/>
                    <w:rPr>
                      <w:b/>
                      <w:bCs/>
                      <w:sz w:val="21"/>
                    </w:rPr>
                  </w:pPr>
                  <w:r>
                    <w:rPr>
                      <w:b/>
                      <w:bCs/>
                      <w:sz w:val="21"/>
                    </w:rPr>
                    <w:t>经纬度</w:t>
                  </w:r>
                </w:p>
              </w:tc>
              <w:tc>
                <w:tcPr>
                  <w:tcW w:w="528"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距离（m）</w:t>
                  </w:r>
                </w:p>
              </w:tc>
              <w:tc>
                <w:tcPr>
                  <w:tcW w:w="959"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功能</w:t>
                  </w:r>
                </w:p>
              </w:tc>
              <w:tc>
                <w:tcPr>
                  <w:tcW w:w="728"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环境功能区标准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48"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524"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1043"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经度</w:t>
                  </w:r>
                </w:p>
              </w:tc>
              <w:tc>
                <w:tcPr>
                  <w:tcW w:w="967"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纬度</w:t>
                  </w:r>
                </w:p>
              </w:tc>
              <w:tc>
                <w:tcPr>
                  <w:tcW w:w="528"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959" w:type="pct"/>
                  <w:vMerge w:val="continue"/>
                  <w:tcBorders>
                    <w:tl2br w:val="nil"/>
                    <w:tr2bl w:val="nil"/>
                  </w:tcBorders>
                  <w:shd w:val="clear" w:color="auto" w:fill="auto"/>
                  <w:vAlign w:val="center"/>
                </w:tcPr>
                <w:p>
                  <w:pPr>
                    <w:spacing w:line="240" w:lineRule="auto"/>
                    <w:ind w:firstLine="0" w:firstLineChars="0"/>
                    <w:jc w:val="center"/>
                    <w:rPr>
                      <w:sz w:val="21"/>
                    </w:rPr>
                  </w:pPr>
                </w:p>
              </w:tc>
              <w:tc>
                <w:tcPr>
                  <w:tcW w:w="728" w:type="pct"/>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声环境</w:t>
                  </w: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加油</w:t>
                  </w:r>
                  <w:r>
                    <w:rPr>
                      <w:rFonts w:hint="eastAsia"/>
                      <w:sz w:val="21"/>
                    </w:rPr>
                    <w:t>点</w:t>
                  </w:r>
                  <w:r>
                    <w:rPr>
                      <w:sz w:val="21"/>
                    </w:rPr>
                    <w:t>东侧居民</w:t>
                  </w:r>
                </w:p>
              </w:tc>
              <w:tc>
                <w:tcPr>
                  <w:tcW w:w="104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111°48′38.14395″</w:t>
                  </w:r>
                </w:p>
              </w:tc>
              <w:tc>
                <w:tcPr>
                  <w:tcW w:w="967"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28°30′43.35587″</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rFonts w:hint="eastAsia"/>
                      <w:sz w:val="21"/>
                    </w:rPr>
                    <w:t>10</w:t>
                  </w:r>
                  <w:r>
                    <w:rPr>
                      <w:sz w:val="21"/>
                    </w:rPr>
                    <w:t>~200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sz w:val="21"/>
                    </w:rPr>
                    <w:t>约20户，80人</w:t>
                  </w:r>
                </w:p>
              </w:tc>
              <w:tc>
                <w:tcPr>
                  <w:tcW w:w="728" w:type="pct"/>
                  <w:vMerge w:val="restart"/>
                  <w:tcBorders>
                    <w:tl2br w:val="nil"/>
                    <w:tr2bl w:val="nil"/>
                  </w:tcBorders>
                  <w:shd w:val="clear" w:color="auto" w:fill="auto"/>
                  <w:vAlign w:val="center"/>
                </w:tcPr>
                <w:p>
                  <w:pPr>
                    <w:spacing w:line="240" w:lineRule="auto"/>
                    <w:ind w:firstLine="0" w:firstLineChars="0"/>
                    <w:jc w:val="center"/>
                    <w:rPr>
                      <w:sz w:val="21"/>
                    </w:rPr>
                  </w:pPr>
                  <w:r>
                    <w:rPr>
                      <w:sz w:val="21"/>
                    </w:rPr>
                    <w:t>《声环境质量标准》（GB3096-2008）中2类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加油</w:t>
                  </w:r>
                  <w:r>
                    <w:rPr>
                      <w:rFonts w:hint="eastAsia"/>
                      <w:sz w:val="21"/>
                    </w:rPr>
                    <w:t>点</w:t>
                  </w:r>
                  <w:r>
                    <w:rPr>
                      <w:sz w:val="21"/>
                    </w:rPr>
                    <w:t>西测居民</w:t>
                  </w:r>
                </w:p>
              </w:tc>
              <w:tc>
                <w:tcPr>
                  <w:tcW w:w="104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111°48′34.53263″</w:t>
                  </w:r>
                </w:p>
              </w:tc>
              <w:tc>
                <w:tcPr>
                  <w:tcW w:w="967"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28°30′42.60271″</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sz w:val="21"/>
                    </w:rPr>
                    <w:t>20~200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sz w:val="21"/>
                    </w:rPr>
                    <w:t>约15户，60人</w:t>
                  </w:r>
                </w:p>
              </w:tc>
              <w:tc>
                <w:tcPr>
                  <w:tcW w:w="728" w:type="pct"/>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加油</w:t>
                  </w:r>
                  <w:r>
                    <w:rPr>
                      <w:rFonts w:hint="eastAsia"/>
                      <w:sz w:val="21"/>
                    </w:rPr>
                    <w:t>点</w:t>
                  </w:r>
                  <w:r>
                    <w:rPr>
                      <w:sz w:val="21"/>
                    </w:rPr>
                    <w:t>北侧</w:t>
                  </w:r>
                </w:p>
              </w:tc>
              <w:tc>
                <w:tcPr>
                  <w:tcW w:w="104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111°48′36.96592″</w:t>
                  </w:r>
                </w:p>
              </w:tc>
              <w:tc>
                <w:tcPr>
                  <w:tcW w:w="967"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28°30′44.16697″</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sz w:val="21"/>
                    </w:rPr>
                    <w:t>25~200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sz w:val="21"/>
                    </w:rPr>
                    <w:t>约10户，40人</w:t>
                  </w:r>
                </w:p>
              </w:tc>
              <w:tc>
                <w:tcPr>
                  <w:tcW w:w="728" w:type="pct"/>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加油</w:t>
                  </w:r>
                  <w:r>
                    <w:rPr>
                      <w:rFonts w:hint="eastAsia"/>
                      <w:sz w:val="21"/>
                    </w:rPr>
                    <w:t>点</w:t>
                  </w:r>
                  <w:r>
                    <w:rPr>
                      <w:sz w:val="21"/>
                    </w:rPr>
                    <w:t>南侧</w:t>
                  </w:r>
                </w:p>
              </w:tc>
              <w:tc>
                <w:tcPr>
                  <w:tcW w:w="104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111°48′37.56459″</w:t>
                  </w:r>
                </w:p>
              </w:tc>
              <w:tc>
                <w:tcPr>
                  <w:tcW w:w="967"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28°30′39.24244″</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sz w:val="21"/>
                    </w:rPr>
                    <w:t>70~200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sz w:val="21"/>
                    </w:rPr>
                    <w:t>约100户，400人</w:t>
                  </w:r>
                </w:p>
              </w:tc>
              <w:tc>
                <w:tcPr>
                  <w:tcW w:w="728" w:type="pct"/>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48"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地表水环境</w:t>
                  </w: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资水</w:t>
                  </w:r>
                </w:p>
              </w:tc>
              <w:tc>
                <w:tcPr>
                  <w:tcW w:w="1043"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967"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sz w:val="21"/>
                    </w:rPr>
                    <w:t>南边200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rFonts w:hint="eastAsia"/>
                      <w:sz w:val="21"/>
                    </w:rPr>
                    <w:t>/</w:t>
                  </w:r>
                </w:p>
              </w:tc>
              <w:tc>
                <w:tcPr>
                  <w:tcW w:w="728" w:type="pct"/>
                  <w:tcBorders>
                    <w:tl2br w:val="nil"/>
                    <w:tr2bl w:val="nil"/>
                  </w:tcBorders>
                  <w:shd w:val="clear" w:color="auto" w:fill="auto"/>
                  <w:vAlign w:val="center"/>
                </w:tcPr>
                <w:p>
                  <w:pPr>
                    <w:spacing w:line="240" w:lineRule="auto"/>
                    <w:ind w:firstLine="0" w:firstLineChars="0"/>
                    <w:jc w:val="center"/>
                    <w:rPr>
                      <w:sz w:val="21"/>
                    </w:rPr>
                  </w:pPr>
                  <w:r>
                    <w:rPr>
                      <w:sz w:val="21"/>
                    </w:rPr>
                    <w:t>《地表水环境质量标准》GB3838-2002中Ⅲ类标准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524" w:type="pct"/>
                  <w:tcBorders>
                    <w:tl2br w:val="nil"/>
                    <w:tr2bl w:val="nil"/>
                  </w:tcBorders>
                  <w:shd w:val="clear" w:color="auto" w:fill="auto"/>
                  <w:vAlign w:val="center"/>
                </w:tcPr>
                <w:p>
                  <w:pPr>
                    <w:spacing w:line="240" w:lineRule="auto"/>
                    <w:ind w:firstLine="0" w:firstLineChars="0"/>
                    <w:jc w:val="center"/>
                    <w:rPr>
                      <w:sz w:val="21"/>
                    </w:rPr>
                  </w:pPr>
                  <w:r>
                    <w:rPr>
                      <w:sz w:val="21"/>
                    </w:rPr>
                    <w:t>无名</w:t>
                  </w:r>
                </w:p>
                <w:p>
                  <w:pPr>
                    <w:spacing w:line="240" w:lineRule="auto"/>
                    <w:ind w:firstLine="0" w:firstLineChars="0"/>
                    <w:jc w:val="center"/>
                    <w:rPr>
                      <w:sz w:val="21"/>
                    </w:rPr>
                  </w:pPr>
                  <w:r>
                    <w:rPr>
                      <w:sz w:val="21"/>
                    </w:rPr>
                    <w:t>小溪</w:t>
                  </w:r>
                </w:p>
              </w:tc>
              <w:tc>
                <w:tcPr>
                  <w:tcW w:w="1043"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967"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528" w:type="pct"/>
                  <w:tcBorders>
                    <w:tl2br w:val="nil"/>
                    <w:tr2bl w:val="nil"/>
                  </w:tcBorders>
                  <w:shd w:val="clear" w:color="auto" w:fill="auto"/>
                  <w:vAlign w:val="center"/>
                </w:tcPr>
                <w:p>
                  <w:pPr>
                    <w:spacing w:line="240" w:lineRule="auto"/>
                    <w:ind w:firstLine="0" w:firstLineChars="0"/>
                    <w:jc w:val="center"/>
                    <w:rPr>
                      <w:sz w:val="21"/>
                    </w:rPr>
                  </w:pPr>
                  <w:r>
                    <w:rPr>
                      <w:rFonts w:hint="eastAsia"/>
                      <w:sz w:val="21"/>
                    </w:rPr>
                    <w:t>西南</w:t>
                  </w:r>
                  <w:r>
                    <w:rPr>
                      <w:sz w:val="21"/>
                    </w:rPr>
                    <w:t>5~350</w:t>
                  </w:r>
                </w:p>
              </w:tc>
              <w:tc>
                <w:tcPr>
                  <w:tcW w:w="959" w:type="pct"/>
                  <w:tcBorders>
                    <w:tl2br w:val="nil"/>
                    <w:tr2bl w:val="nil"/>
                  </w:tcBorders>
                  <w:shd w:val="clear" w:color="auto" w:fill="auto"/>
                  <w:vAlign w:val="center"/>
                </w:tcPr>
                <w:p>
                  <w:pPr>
                    <w:spacing w:line="240" w:lineRule="auto"/>
                    <w:ind w:firstLine="0" w:firstLineChars="0"/>
                    <w:jc w:val="center"/>
                    <w:rPr>
                      <w:sz w:val="21"/>
                    </w:rPr>
                  </w:pPr>
                  <w:r>
                    <w:rPr>
                      <w:sz w:val="21"/>
                    </w:rPr>
                    <w:t>灌溉</w:t>
                  </w:r>
                </w:p>
              </w:tc>
              <w:tc>
                <w:tcPr>
                  <w:tcW w:w="728" w:type="pct"/>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248" w:type="pct"/>
                  <w:tcBorders>
                    <w:tl2br w:val="nil"/>
                    <w:tr2bl w:val="nil"/>
                  </w:tcBorders>
                  <w:shd w:val="clear" w:color="auto" w:fill="auto"/>
                  <w:vAlign w:val="center"/>
                </w:tcPr>
                <w:p>
                  <w:pPr>
                    <w:spacing w:line="240" w:lineRule="auto"/>
                    <w:ind w:firstLine="0" w:firstLineChars="0"/>
                    <w:jc w:val="center"/>
                    <w:rPr>
                      <w:b/>
                      <w:bCs/>
                      <w:sz w:val="21"/>
                      <w:u w:val="single"/>
                    </w:rPr>
                  </w:pPr>
                  <w:r>
                    <w:rPr>
                      <w:rFonts w:hint="eastAsia"/>
                      <w:b/>
                      <w:bCs/>
                      <w:sz w:val="21"/>
                      <w:u w:val="single"/>
                    </w:rPr>
                    <w:t>土壤环境</w:t>
                  </w:r>
                </w:p>
              </w:tc>
              <w:tc>
                <w:tcPr>
                  <w:tcW w:w="524" w:type="pct"/>
                  <w:tcBorders>
                    <w:tl2br w:val="nil"/>
                    <w:tr2bl w:val="nil"/>
                  </w:tcBorders>
                  <w:shd w:val="clear" w:color="auto" w:fill="auto"/>
                  <w:vAlign w:val="center"/>
                </w:tcPr>
                <w:p>
                  <w:pPr>
                    <w:spacing w:line="240" w:lineRule="auto"/>
                    <w:ind w:firstLine="0" w:firstLineChars="0"/>
                    <w:jc w:val="center"/>
                    <w:rPr>
                      <w:sz w:val="21"/>
                      <w:u w:val="single"/>
                    </w:rPr>
                  </w:pPr>
                  <w:r>
                    <w:rPr>
                      <w:rFonts w:hint="eastAsia"/>
                      <w:sz w:val="21"/>
                      <w:u w:val="single"/>
                    </w:rPr>
                    <w:t>占地范围内全部和范围外方圆0.05km范围内</w:t>
                  </w:r>
                </w:p>
              </w:tc>
              <w:tc>
                <w:tcPr>
                  <w:tcW w:w="2010" w:type="pct"/>
                  <w:gridSpan w:val="2"/>
                  <w:tcBorders>
                    <w:tl2br w:val="nil"/>
                    <w:tr2bl w:val="nil"/>
                  </w:tcBorders>
                  <w:shd w:val="clear" w:color="auto" w:fill="auto"/>
                  <w:vAlign w:val="center"/>
                </w:tcPr>
                <w:p>
                  <w:pPr>
                    <w:spacing w:line="240" w:lineRule="auto"/>
                    <w:ind w:firstLine="0" w:firstLineChars="0"/>
                    <w:jc w:val="center"/>
                    <w:rPr>
                      <w:sz w:val="21"/>
                      <w:u w:val="single"/>
                    </w:rPr>
                  </w:pPr>
                  <w:r>
                    <w:rPr>
                      <w:rFonts w:hint="eastAsia"/>
                      <w:sz w:val="21"/>
                      <w:u w:val="single"/>
                    </w:rPr>
                    <w:t>/</w:t>
                  </w:r>
                </w:p>
                <w:p>
                  <w:pPr>
                    <w:spacing w:line="240" w:lineRule="auto"/>
                    <w:ind w:firstLine="0" w:firstLineChars="0"/>
                    <w:jc w:val="center"/>
                    <w:rPr>
                      <w:sz w:val="21"/>
                      <w:u w:val="single"/>
                    </w:rPr>
                  </w:pPr>
                </w:p>
              </w:tc>
              <w:tc>
                <w:tcPr>
                  <w:tcW w:w="528" w:type="pct"/>
                  <w:tcBorders>
                    <w:tl2br w:val="nil"/>
                    <w:tr2bl w:val="nil"/>
                  </w:tcBorders>
                  <w:shd w:val="clear" w:color="auto" w:fill="auto"/>
                  <w:vAlign w:val="center"/>
                </w:tcPr>
                <w:p>
                  <w:pPr>
                    <w:spacing w:line="240" w:lineRule="auto"/>
                    <w:ind w:firstLine="0" w:firstLineChars="0"/>
                    <w:jc w:val="center"/>
                    <w:rPr>
                      <w:sz w:val="21"/>
                      <w:u w:val="single"/>
                    </w:rPr>
                  </w:pPr>
                  <w:r>
                    <w:rPr>
                      <w:rFonts w:hint="eastAsia"/>
                      <w:sz w:val="21"/>
                      <w:u w:val="single"/>
                    </w:rPr>
                    <w:t>/</w:t>
                  </w:r>
                </w:p>
              </w:tc>
              <w:tc>
                <w:tcPr>
                  <w:tcW w:w="959" w:type="pct"/>
                  <w:tcBorders>
                    <w:tl2br w:val="nil"/>
                    <w:tr2bl w:val="nil"/>
                  </w:tcBorders>
                  <w:shd w:val="clear" w:color="auto" w:fill="auto"/>
                  <w:vAlign w:val="center"/>
                </w:tcPr>
                <w:p>
                  <w:pPr>
                    <w:spacing w:line="240" w:lineRule="auto"/>
                    <w:ind w:firstLine="0" w:firstLineChars="0"/>
                    <w:jc w:val="center"/>
                    <w:rPr>
                      <w:sz w:val="21"/>
                      <w:u w:val="single"/>
                    </w:rPr>
                  </w:pPr>
                  <w:r>
                    <w:rPr>
                      <w:rFonts w:hint="eastAsia"/>
                      <w:sz w:val="21"/>
                      <w:u w:val="single"/>
                    </w:rPr>
                    <w:t>农田、菜地、绿化</w:t>
                  </w:r>
                </w:p>
              </w:tc>
              <w:tc>
                <w:tcPr>
                  <w:tcW w:w="728" w:type="pct"/>
                  <w:tcBorders>
                    <w:tl2br w:val="nil"/>
                    <w:tr2bl w:val="nil"/>
                  </w:tcBorders>
                  <w:shd w:val="clear" w:color="auto" w:fill="auto"/>
                  <w:vAlign w:val="center"/>
                </w:tcPr>
                <w:p>
                  <w:pPr>
                    <w:spacing w:line="240" w:lineRule="auto"/>
                    <w:ind w:firstLine="0" w:firstLineChars="0"/>
                    <w:jc w:val="center"/>
                    <w:rPr>
                      <w:sz w:val="21"/>
                      <w:u w:val="single"/>
                    </w:rPr>
                  </w:pPr>
                  <w:r>
                    <w:rPr>
                      <w:rFonts w:hint="eastAsia"/>
                      <w:sz w:val="21"/>
                      <w:u w:val="single"/>
                    </w:rPr>
                    <w:t>《土壤环境质量</w:t>
                  </w:r>
                  <w:r>
                    <w:rPr>
                      <w:rFonts w:hint="eastAsia" w:ascii="仿宋" w:hAnsi="仿宋" w:cs="仿宋"/>
                      <w:sz w:val="21"/>
                      <w:u w:val="single"/>
                    </w:rPr>
                    <w:t>˙农用地土壤污染风险管控标准（试行）</w:t>
                  </w:r>
                  <w:r>
                    <w:rPr>
                      <w:rFonts w:hint="eastAsia"/>
                      <w:sz w:val="21"/>
                      <w:u w:val="single"/>
                    </w:rPr>
                    <w:t>》（GB15618-2018）</w:t>
                  </w:r>
                </w:p>
              </w:tc>
            </w:tr>
            <w:bookmarkEnd w:id="12"/>
          </w:tbl>
          <w:p>
            <w:pPr>
              <w:ind w:firstLine="0" w:firstLineChars="0"/>
              <w:jc w:val="both"/>
            </w:pPr>
          </w:p>
        </w:tc>
      </w:tr>
    </w:tbl>
    <w:p>
      <w:pPr>
        <w:numPr>
          <w:ilvl w:val="0"/>
          <w:numId w:val="6"/>
        </w:numPr>
        <w:snapToGrid w:val="0"/>
        <w:ind w:firstLine="0" w:firstLineChars="0"/>
        <w:jc w:val="both"/>
        <w:textAlignment w:val="baseline"/>
        <w:outlineLvl w:val="0"/>
        <w:rPr>
          <w:rFonts w:eastAsiaTheme="minorEastAsia"/>
          <w:b/>
          <w:color w:val="000000"/>
          <w:sz w:val="32"/>
          <w:szCs w:val="20"/>
        </w:rPr>
        <w:sectPr>
          <w:pgSz w:w="12240" w:h="15840"/>
          <w:pgMar w:top="1440" w:right="1800" w:bottom="1440" w:left="1800" w:header="720" w:footer="720" w:gutter="0"/>
          <w:cols w:space="425" w:num="1"/>
          <w:docGrid w:type="lines" w:linePitch="312" w:charSpace="0"/>
        </w:sectPr>
      </w:pPr>
      <w:bookmarkStart w:id="13" w:name="_Toc18054"/>
      <w:bookmarkStart w:id="14" w:name="_Toc19296"/>
    </w:p>
    <w:p>
      <w:pPr>
        <w:pStyle w:val="3"/>
        <w:numPr>
          <w:ilvl w:val="0"/>
          <w:numId w:val="6"/>
        </w:numPr>
        <w:spacing w:before="0" w:after="0" w:line="240" w:lineRule="auto"/>
        <w:ind w:firstLine="0" w:firstLineChars="0"/>
      </w:pPr>
      <w:bookmarkStart w:id="15" w:name="_Toc18260"/>
      <w:r>
        <w:t>评价适用标准</w:t>
      </w:r>
      <w:bookmarkEnd w:id="13"/>
      <w:bookmarkEnd w:id="14"/>
      <w:bookmarkEnd w:id="1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8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3" w:type="dxa"/>
            <w:tcBorders>
              <w:tl2br w:val="nil"/>
              <w:tr2bl w:val="nil"/>
            </w:tcBorders>
            <w:vAlign w:val="center"/>
          </w:tcPr>
          <w:p>
            <w:pPr>
              <w:snapToGrid w:val="0"/>
              <w:ind w:firstLine="0" w:firstLineChars="0"/>
              <w:jc w:val="center"/>
              <w:textAlignment w:val="baseline"/>
              <w:outlineLvl w:val="0"/>
              <w:rPr>
                <w:rFonts w:eastAsiaTheme="minorEastAsia"/>
                <w:b/>
                <w:color w:val="000000"/>
                <w:sz w:val="32"/>
                <w:szCs w:val="20"/>
              </w:rPr>
            </w:pPr>
            <w:bookmarkStart w:id="16" w:name="_Toc25455"/>
            <w:r>
              <w:rPr>
                <w:b/>
                <w:color w:val="000000"/>
                <w:szCs w:val="24"/>
              </w:rPr>
              <w:t>环境质量标准</w:t>
            </w:r>
            <w:bookmarkEnd w:id="16"/>
          </w:p>
        </w:tc>
        <w:tc>
          <w:tcPr>
            <w:tcW w:w="8273" w:type="dxa"/>
            <w:tcBorders>
              <w:tl2br w:val="nil"/>
              <w:tr2bl w:val="nil"/>
            </w:tcBorders>
          </w:tcPr>
          <w:p>
            <w:pPr>
              <w:spacing w:line="360" w:lineRule="auto"/>
              <w:ind w:firstLine="0" w:firstLineChars="0"/>
              <w:jc w:val="both"/>
              <w:rPr>
                <w:b/>
                <w:color w:val="000000"/>
                <w:szCs w:val="28"/>
              </w:rPr>
            </w:pPr>
            <w:r>
              <w:rPr>
                <w:b/>
                <w:color w:val="000000"/>
                <w:szCs w:val="28"/>
              </w:rPr>
              <w:t>1、环境空气</w:t>
            </w:r>
          </w:p>
          <w:p>
            <w:pPr>
              <w:ind w:firstLine="560"/>
              <w:jc w:val="both"/>
            </w:pPr>
            <w:r>
              <w:t>区域</w:t>
            </w:r>
            <w:r>
              <w:rPr>
                <w:rFonts w:hint="eastAsia"/>
              </w:rPr>
              <w:t>环境空气</w:t>
            </w:r>
            <w:r>
              <w:t>执行《环境空气质量标准》（GB3095-2012）二级标准。TVOC采用《环境影响评价技术导则 大气环境》（HJ2.2-2018）附录D中的8h平均浓度限值，具体标准限值见下表</w:t>
            </w:r>
            <w:r>
              <w:rPr>
                <w:rFonts w:hint="eastAsia"/>
              </w:rPr>
              <w:t>4-1。</w:t>
            </w:r>
          </w:p>
          <w:p>
            <w:pPr>
              <w:spacing w:line="240" w:lineRule="auto"/>
              <w:ind w:firstLine="422"/>
              <w:jc w:val="center"/>
              <w:rPr>
                <w:b/>
                <w:color w:val="000000"/>
                <w:sz w:val="21"/>
                <w:shd w:val="clear" w:color="auto" w:fill="FFFFFF"/>
              </w:rPr>
            </w:pPr>
            <w:r>
              <w:rPr>
                <w:b/>
                <w:color w:val="000000"/>
                <w:sz w:val="21"/>
                <w:shd w:val="clear" w:color="auto" w:fill="FFFFFF"/>
              </w:rPr>
              <w:t>表4-1  环境空气质量标准</w:t>
            </w:r>
            <w:r>
              <w:rPr>
                <w:rFonts w:hint="eastAsia"/>
                <w:b/>
                <w:color w:val="000000"/>
                <w:sz w:val="21"/>
                <w:shd w:val="clear" w:color="auto" w:fill="FFFFFF"/>
              </w:rPr>
              <w:t>限值</w:t>
            </w:r>
          </w:p>
          <w:tbl>
            <w:tblPr>
              <w:tblStyle w:val="27"/>
              <w:tblW w:w="4998"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76"/>
              <w:gridCol w:w="1940"/>
              <w:gridCol w:w="1874"/>
              <w:gridCol w:w="11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污染物项目</w:t>
                  </w:r>
                </w:p>
              </w:tc>
              <w:tc>
                <w:tcPr>
                  <w:tcW w:w="1204"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平均时间</w:t>
                  </w:r>
                </w:p>
              </w:tc>
              <w:tc>
                <w:tcPr>
                  <w:tcW w:w="1163"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浓度限值</w:t>
                  </w:r>
                </w:p>
              </w:tc>
              <w:tc>
                <w:tcPr>
                  <w:tcW w:w="722"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二氧化硫（SO</w:t>
                  </w:r>
                  <w:r>
                    <w:rPr>
                      <w:b/>
                      <w:bCs/>
                      <w:color w:val="000000"/>
                      <w:sz w:val="21"/>
                      <w:szCs w:val="20"/>
                      <w:vertAlign w:val="subscript"/>
                    </w:rPr>
                    <w:t>2</w:t>
                  </w:r>
                  <w:r>
                    <w:rPr>
                      <w:b/>
                      <w:bCs/>
                      <w:color w:val="000000"/>
                      <w:sz w:val="21"/>
                      <w:szCs w:val="20"/>
                    </w:rPr>
                    <w:t>）</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年平均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60</w:t>
                  </w:r>
                </w:p>
              </w:tc>
              <w:tc>
                <w:tcPr>
                  <w:tcW w:w="722" w:type="pct"/>
                  <w:vMerge w:val="restar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μg /m</w:t>
                  </w:r>
                  <w:r>
                    <w:rPr>
                      <w:color w:val="000000"/>
                      <w:sz w:val="21"/>
                      <w:szCs w:val="20"/>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24小时平均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150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1小时平均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500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二氧化氮（NO</w:t>
                  </w:r>
                  <w:r>
                    <w:rPr>
                      <w:b/>
                      <w:bCs/>
                      <w:color w:val="000000"/>
                      <w:sz w:val="21"/>
                      <w:szCs w:val="20"/>
                      <w:vertAlign w:val="subscript"/>
                    </w:rPr>
                    <w:t>2</w:t>
                  </w:r>
                  <w:r>
                    <w:rPr>
                      <w:b/>
                      <w:bCs/>
                      <w:color w:val="000000"/>
                      <w:sz w:val="21"/>
                      <w:szCs w:val="20"/>
                    </w:rPr>
                    <w:t>）</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年平均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40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24小时平均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80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1小时平均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200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颗粒物（粒径小于等于10μm）</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年平均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70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24小时平均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150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颗粒物（粒径小于等于2.5μm）</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年平均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35</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909" w:type="pct"/>
                  <w:vMerge w:val="continue"/>
                  <w:tcBorders>
                    <w:tl2br w:val="nil"/>
                    <w:tr2bl w:val="nil"/>
                  </w:tcBorders>
                  <w:shd w:val="clear" w:color="auto" w:fill="auto"/>
                  <w:vAlign w:val="center"/>
                </w:tcPr>
                <w:p>
                  <w:pPr>
                    <w:spacing w:line="240" w:lineRule="auto"/>
                    <w:ind w:firstLine="0" w:firstLineChars="0"/>
                    <w:jc w:val="both"/>
                    <w:rPr>
                      <w:b/>
                      <w:bCs/>
                      <w:sz w:val="20"/>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24小时平均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75</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909" w:type="pct"/>
                  <w:tcBorders>
                    <w:tl2br w:val="nil"/>
                    <w:tr2bl w:val="nil"/>
                  </w:tcBorders>
                  <w:shd w:val="clear" w:color="auto" w:fill="auto"/>
                  <w:vAlign w:val="center"/>
                </w:tcPr>
                <w:p>
                  <w:pPr>
                    <w:spacing w:line="240" w:lineRule="auto"/>
                    <w:ind w:firstLine="0" w:firstLineChars="0"/>
                    <w:jc w:val="center"/>
                    <w:rPr>
                      <w:b/>
                      <w:bCs/>
                      <w:color w:val="000000"/>
                    </w:rPr>
                  </w:pPr>
                  <w:r>
                    <w:rPr>
                      <w:b/>
                      <w:bCs/>
                      <w:color w:val="000000"/>
                      <w:sz w:val="21"/>
                      <w:szCs w:val="20"/>
                    </w:rPr>
                    <w:t>TVOC</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8h平均</w:t>
                  </w:r>
                </w:p>
              </w:tc>
              <w:tc>
                <w:tcPr>
                  <w:tcW w:w="1163"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600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sz w:val="21"/>
                      <w:szCs w:val="20"/>
                    </w:rPr>
                  </w:pPr>
                  <w:r>
                    <w:rPr>
                      <w:rFonts w:hint="eastAsia"/>
                      <w:b/>
                      <w:bCs/>
                      <w:color w:val="000000"/>
                      <w:sz w:val="21"/>
                      <w:szCs w:val="20"/>
                    </w:rPr>
                    <w:t>臭氧</w:t>
                  </w:r>
                </w:p>
              </w:tc>
              <w:tc>
                <w:tcPr>
                  <w:tcW w:w="1204"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日最大8小时平均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160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909" w:type="pct"/>
                  <w:vMerge w:val="continue"/>
                  <w:tcBorders>
                    <w:tl2br w:val="nil"/>
                    <w:tr2bl w:val="nil"/>
                  </w:tcBorders>
                  <w:shd w:val="clear" w:color="auto" w:fill="auto"/>
                  <w:vAlign w:val="center"/>
                </w:tcPr>
                <w:p>
                  <w:pPr>
                    <w:spacing w:line="240" w:lineRule="auto"/>
                    <w:ind w:firstLine="0" w:firstLineChars="0"/>
                    <w:jc w:val="center"/>
                    <w:rPr>
                      <w:b/>
                      <w:bCs/>
                      <w:color w:val="000000"/>
                      <w:sz w:val="21"/>
                      <w:szCs w:val="20"/>
                    </w:rPr>
                  </w:pPr>
                </w:p>
              </w:tc>
              <w:tc>
                <w:tcPr>
                  <w:tcW w:w="1204"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1小时平均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200</w:t>
                  </w:r>
                </w:p>
              </w:tc>
              <w:tc>
                <w:tcPr>
                  <w:tcW w:w="72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909" w:type="pct"/>
                  <w:vMerge w:val="restart"/>
                  <w:tcBorders>
                    <w:tl2br w:val="nil"/>
                    <w:tr2bl w:val="nil"/>
                  </w:tcBorders>
                  <w:shd w:val="clear" w:color="auto" w:fill="auto"/>
                  <w:vAlign w:val="center"/>
                </w:tcPr>
                <w:p>
                  <w:pPr>
                    <w:spacing w:line="240" w:lineRule="auto"/>
                    <w:ind w:firstLine="0" w:firstLineChars="0"/>
                    <w:jc w:val="center"/>
                    <w:rPr>
                      <w:b/>
                      <w:bCs/>
                      <w:color w:val="000000"/>
                      <w:sz w:val="21"/>
                      <w:szCs w:val="20"/>
                    </w:rPr>
                  </w:pPr>
                  <w:r>
                    <w:rPr>
                      <w:rFonts w:hint="eastAsia"/>
                      <w:b/>
                      <w:bCs/>
                      <w:color w:val="000000"/>
                      <w:sz w:val="21"/>
                      <w:szCs w:val="20"/>
                    </w:rPr>
                    <w:t>一氧化碳</w:t>
                  </w: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24小时平均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4</w:t>
                  </w:r>
                </w:p>
              </w:tc>
              <w:tc>
                <w:tcPr>
                  <w:tcW w:w="722" w:type="pct"/>
                  <w:vMerge w:val="restart"/>
                  <w:tcBorders>
                    <w:tl2br w:val="nil"/>
                    <w:tr2bl w:val="nil"/>
                  </w:tcBorders>
                  <w:shd w:val="clear" w:color="auto" w:fill="auto"/>
                  <w:vAlign w:val="center"/>
                </w:tcPr>
                <w:p>
                  <w:pPr>
                    <w:spacing w:line="240" w:lineRule="auto"/>
                    <w:ind w:firstLine="0" w:firstLineChars="0"/>
                    <w:jc w:val="center"/>
                    <w:rPr>
                      <w:sz w:val="20"/>
                      <w:szCs w:val="20"/>
                    </w:rPr>
                  </w:pPr>
                  <w:r>
                    <w:rPr>
                      <w:rFonts w:hint="eastAsia"/>
                      <w:color w:val="000000"/>
                      <w:sz w:val="21"/>
                      <w:szCs w:val="20"/>
                    </w:rPr>
                    <w:t>m</w:t>
                  </w:r>
                  <w:r>
                    <w:rPr>
                      <w:color w:val="000000"/>
                      <w:sz w:val="21"/>
                      <w:szCs w:val="20"/>
                    </w:rPr>
                    <w:t>g /m</w:t>
                  </w:r>
                  <w:r>
                    <w:rPr>
                      <w:color w:val="000000"/>
                      <w:sz w:val="21"/>
                      <w:szCs w:val="20"/>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909" w:type="pct"/>
                  <w:vMerge w:val="continue"/>
                  <w:tcBorders>
                    <w:tl2br w:val="nil"/>
                    <w:tr2bl w:val="nil"/>
                  </w:tcBorders>
                  <w:shd w:val="clear" w:color="auto" w:fill="auto"/>
                  <w:vAlign w:val="center"/>
                </w:tcPr>
                <w:p>
                  <w:pPr>
                    <w:spacing w:line="240" w:lineRule="auto"/>
                    <w:ind w:firstLine="0" w:firstLineChars="0"/>
                    <w:jc w:val="center"/>
                    <w:rPr>
                      <w:b/>
                      <w:bCs/>
                      <w:color w:val="000000"/>
                      <w:sz w:val="21"/>
                      <w:szCs w:val="20"/>
                      <w:highlight w:val="green"/>
                    </w:rPr>
                  </w:pPr>
                </w:p>
              </w:tc>
              <w:tc>
                <w:tcPr>
                  <w:tcW w:w="1204"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szCs w:val="20"/>
                    </w:rPr>
                    <w:t>1小时平均</w:t>
                  </w:r>
                </w:p>
              </w:tc>
              <w:tc>
                <w:tcPr>
                  <w:tcW w:w="1163" w:type="pct"/>
                  <w:tcBorders>
                    <w:tl2br w:val="nil"/>
                    <w:tr2bl w:val="nil"/>
                  </w:tcBorders>
                  <w:shd w:val="clear" w:color="auto" w:fill="auto"/>
                  <w:vAlign w:val="center"/>
                </w:tcPr>
                <w:p>
                  <w:pPr>
                    <w:spacing w:line="240" w:lineRule="auto"/>
                    <w:ind w:firstLine="0" w:firstLineChars="0"/>
                    <w:jc w:val="center"/>
                    <w:rPr>
                      <w:color w:val="000000"/>
                      <w:sz w:val="21"/>
                      <w:szCs w:val="20"/>
                    </w:rPr>
                  </w:pPr>
                  <w:r>
                    <w:rPr>
                      <w:rFonts w:hint="eastAsia"/>
                      <w:color w:val="000000"/>
                      <w:sz w:val="21"/>
                      <w:szCs w:val="20"/>
                    </w:rPr>
                    <w:t>10</w:t>
                  </w:r>
                </w:p>
              </w:tc>
              <w:tc>
                <w:tcPr>
                  <w:tcW w:w="722" w:type="pct"/>
                  <w:vMerge w:val="continue"/>
                  <w:tcBorders>
                    <w:tl2br w:val="nil"/>
                    <w:tr2bl w:val="nil"/>
                  </w:tcBorders>
                  <w:shd w:val="clear" w:color="auto" w:fill="auto"/>
                  <w:vAlign w:val="center"/>
                </w:tcPr>
                <w:p>
                  <w:pPr>
                    <w:spacing w:line="240" w:lineRule="auto"/>
                    <w:ind w:firstLine="0" w:firstLineChars="0"/>
                    <w:jc w:val="both"/>
                    <w:rPr>
                      <w:color w:val="000000"/>
                      <w:sz w:val="21"/>
                      <w:szCs w:val="20"/>
                    </w:rPr>
                  </w:pPr>
                </w:p>
              </w:tc>
            </w:tr>
          </w:tbl>
          <w:p>
            <w:pPr>
              <w:spacing w:line="360" w:lineRule="auto"/>
              <w:ind w:firstLine="0" w:firstLineChars="0"/>
              <w:jc w:val="both"/>
              <w:rPr>
                <w:b/>
                <w:color w:val="000000"/>
                <w:szCs w:val="28"/>
              </w:rPr>
            </w:pPr>
            <w:r>
              <w:rPr>
                <w:b/>
                <w:color w:val="000000"/>
                <w:szCs w:val="28"/>
              </w:rPr>
              <w:t>2、地表水环境</w:t>
            </w:r>
          </w:p>
          <w:p>
            <w:pPr>
              <w:ind w:firstLine="560"/>
              <w:jc w:val="both"/>
            </w:pPr>
            <w:r>
              <w:rPr>
                <w:rFonts w:hint="eastAsia"/>
              </w:rPr>
              <w:t>区域地表水执行《地表水环境质量标准》（GB3838-2002）III类标准。</w:t>
            </w:r>
          </w:p>
          <w:p>
            <w:pPr>
              <w:spacing w:line="240" w:lineRule="auto"/>
              <w:ind w:firstLine="422"/>
              <w:jc w:val="center"/>
              <w:rPr>
                <w:rFonts w:eastAsiaTheme="minorEastAsia"/>
                <w:b/>
                <w:color w:val="000000"/>
                <w:sz w:val="21"/>
                <w:shd w:val="clear" w:color="auto" w:fill="FFFFFF"/>
              </w:rPr>
            </w:pPr>
            <w:r>
              <w:rPr>
                <w:rFonts w:eastAsiaTheme="minorEastAsia"/>
                <w:b/>
                <w:color w:val="000000"/>
                <w:sz w:val="21"/>
                <w:shd w:val="clear" w:color="auto" w:fill="FFFFFF"/>
              </w:rPr>
              <w:t>表4-2  《地表水环境质量标准》(GB3838-2002)标准（摘录）</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12"/>
              <w:gridCol w:w="48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污染物名称</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b/>
                      <w:bCs/>
                      <w:color w:val="000000"/>
                      <w:sz w:val="21"/>
                      <w:szCs w:val="20"/>
                    </w:rPr>
                    <w:t>Ⅲ类标准限值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pH</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COD</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≤20mg/L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总磷</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氨氮</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≤1.0mg/L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994" w:type="pct"/>
                  <w:tcBorders>
                    <w:tl2br w:val="nil"/>
                    <w:tr2bl w:val="nil"/>
                  </w:tcBorders>
                  <w:shd w:val="clear" w:color="auto" w:fill="auto"/>
                  <w:vAlign w:val="center"/>
                </w:tcPr>
                <w:p>
                  <w:pPr>
                    <w:spacing w:line="240" w:lineRule="auto"/>
                    <w:ind w:firstLine="0" w:firstLineChars="0"/>
                    <w:jc w:val="center"/>
                    <w:rPr>
                      <w:b/>
                      <w:bCs/>
                      <w:color w:val="000000"/>
                      <w:sz w:val="21"/>
                      <w:szCs w:val="20"/>
                    </w:rPr>
                  </w:pPr>
                  <w:r>
                    <w:rPr>
                      <w:b/>
                      <w:bCs/>
                      <w:color w:val="000000"/>
                      <w:sz w:val="21"/>
                      <w:szCs w:val="20"/>
                    </w:rPr>
                    <w:t>石油类</w:t>
                  </w:r>
                </w:p>
              </w:tc>
              <w:tc>
                <w:tcPr>
                  <w:tcW w:w="3005"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≤0.05mg/L</w:t>
                  </w:r>
                </w:p>
              </w:tc>
            </w:tr>
          </w:tbl>
          <w:p>
            <w:pPr>
              <w:spacing w:line="360" w:lineRule="auto"/>
              <w:ind w:firstLine="0" w:firstLineChars="0"/>
              <w:jc w:val="both"/>
              <w:rPr>
                <w:b/>
                <w:color w:val="000000"/>
                <w:szCs w:val="28"/>
              </w:rPr>
            </w:pPr>
            <w:bookmarkStart w:id="17" w:name="_Toc7308"/>
            <w:bookmarkEnd w:id="17"/>
            <w:bookmarkStart w:id="18" w:name="_Toc8922"/>
            <w:bookmarkStart w:id="19" w:name="_Toc18728"/>
            <w:bookmarkStart w:id="20" w:name="_Toc30397"/>
            <w:bookmarkStart w:id="21" w:name="_Toc13060"/>
            <w:r>
              <w:rPr>
                <w:rFonts w:hint="eastAsia"/>
                <w:b/>
                <w:color w:val="000000"/>
                <w:szCs w:val="28"/>
              </w:rPr>
              <w:t>3、</w:t>
            </w:r>
            <w:r>
              <w:rPr>
                <w:b/>
                <w:color w:val="000000"/>
                <w:szCs w:val="28"/>
              </w:rPr>
              <w:t>地下水环境</w:t>
            </w:r>
            <w:bookmarkEnd w:id="18"/>
          </w:p>
          <w:p>
            <w:pPr>
              <w:ind w:firstLine="560"/>
              <w:jc w:val="both"/>
            </w:pPr>
            <w:bookmarkStart w:id="22" w:name="_Toc11565"/>
            <w:r>
              <w:t>区域地下水执行《地下水质量标准（GB/T14848-2017）》Ⅲ类标准。</w:t>
            </w:r>
            <w:bookmarkEnd w:id="19"/>
            <w:bookmarkEnd w:id="20"/>
            <w:bookmarkEnd w:id="21"/>
            <w:bookmarkEnd w:id="22"/>
          </w:p>
          <w:p>
            <w:pPr>
              <w:spacing w:line="240" w:lineRule="auto"/>
              <w:ind w:firstLine="422"/>
              <w:jc w:val="center"/>
              <w:rPr>
                <w:b/>
                <w:color w:val="000000"/>
                <w:sz w:val="21"/>
                <w:shd w:val="clear" w:color="auto" w:fill="FFFFFF"/>
              </w:rPr>
            </w:pPr>
            <w:r>
              <w:rPr>
                <w:b/>
                <w:color w:val="000000"/>
                <w:sz w:val="21"/>
                <w:shd w:val="clear" w:color="auto" w:fill="FFFFFF"/>
              </w:rPr>
              <w:t>表4-3  《地下水质量标准》（GB/T14848-2017）（摘录）</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1"/>
              <w:gridCol w:w="54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color w:val="000000"/>
                    </w:rPr>
                  </w:pPr>
                  <w:r>
                    <w:rPr>
                      <w:b/>
                      <w:color w:val="000000"/>
                      <w:sz w:val="21"/>
                    </w:rPr>
                    <w:t>污染物名称</w:t>
                  </w:r>
                </w:p>
              </w:tc>
              <w:tc>
                <w:tcPr>
                  <w:tcW w:w="3403" w:type="pct"/>
                  <w:tcBorders>
                    <w:tl2br w:val="nil"/>
                    <w:tr2bl w:val="nil"/>
                  </w:tcBorders>
                  <w:shd w:val="clear" w:color="auto" w:fill="auto"/>
                  <w:vAlign w:val="center"/>
                </w:tcPr>
                <w:p>
                  <w:pPr>
                    <w:spacing w:line="240" w:lineRule="auto"/>
                    <w:ind w:firstLine="422"/>
                    <w:jc w:val="center"/>
                    <w:rPr>
                      <w:b/>
                      <w:color w:val="000000"/>
                    </w:rPr>
                  </w:pPr>
                  <w:r>
                    <w:rPr>
                      <w:b/>
                      <w:color w:val="000000"/>
                      <w:sz w:val="21"/>
                    </w:rPr>
                    <w:t>Ⅲ标准限值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rPr>
                  </w:pPr>
                  <w:r>
                    <w:rPr>
                      <w:b/>
                      <w:bCs/>
                      <w:color w:val="000000"/>
                      <w:sz w:val="21"/>
                    </w:rPr>
                    <w:t>pH</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6.5≤pH≤8.5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rPr>
                  </w:pPr>
                  <w:r>
                    <w:rPr>
                      <w:b/>
                      <w:bCs/>
                      <w:color w:val="000000"/>
                      <w:sz w:val="21"/>
                    </w:rPr>
                    <w:t>硝酸盐</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≤20mg/L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rPr>
                  </w:pPr>
                  <w:r>
                    <w:rPr>
                      <w:b/>
                      <w:bCs/>
                      <w:color w:val="000000"/>
                      <w:sz w:val="21"/>
                    </w:rPr>
                    <w:t>氨氮</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rPr>
                  </w:pPr>
                  <w:r>
                    <w:rPr>
                      <w:b/>
                      <w:bCs/>
                      <w:color w:val="000000"/>
                      <w:sz w:val="21"/>
                    </w:rPr>
                    <w:t>总大肠杆菌</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≤3.0mg/L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高猛酸盐指数</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≤3.0mg/L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镉</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砷</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六价铬</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汞</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铅</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氟化物</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96" w:type="pct"/>
                  <w:tcBorders>
                    <w:tl2br w:val="nil"/>
                    <w:tr2bl w:val="nil"/>
                  </w:tcBorders>
                  <w:shd w:val="clear" w:color="auto" w:fill="auto"/>
                  <w:vAlign w:val="center"/>
                </w:tcPr>
                <w:p>
                  <w:pPr>
                    <w:spacing w:line="240" w:lineRule="auto"/>
                    <w:ind w:firstLine="422"/>
                    <w:jc w:val="center"/>
                    <w:rPr>
                      <w:b/>
                      <w:bCs/>
                      <w:color w:val="000000"/>
                      <w:sz w:val="21"/>
                    </w:rPr>
                  </w:pPr>
                  <w:r>
                    <w:rPr>
                      <w:b/>
                      <w:bCs/>
                      <w:color w:val="000000"/>
                      <w:sz w:val="21"/>
                    </w:rPr>
                    <w:t>石油类</w:t>
                  </w:r>
                </w:p>
              </w:tc>
              <w:tc>
                <w:tcPr>
                  <w:tcW w:w="3403" w:type="pct"/>
                  <w:tcBorders>
                    <w:tl2br w:val="nil"/>
                    <w:tr2bl w:val="nil"/>
                  </w:tcBorders>
                  <w:shd w:val="clear" w:color="auto" w:fill="auto"/>
                  <w:vAlign w:val="center"/>
                </w:tcPr>
                <w:p>
                  <w:pPr>
                    <w:spacing w:line="240" w:lineRule="auto"/>
                    <w:ind w:firstLine="0" w:firstLineChars="0"/>
                    <w:jc w:val="center"/>
                    <w:rPr>
                      <w:color w:val="000000"/>
                      <w:sz w:val="21"/>
                      <w:szCs w:val="20"/>
                    </w:rPr>
                  </w:pPr>
                  <w:r>
                    <w:rPr>
                      <w:color w:val="000000"/>
                      <w:sz w:val="21"/>
                      <w:szCs w:val="20"/>
                    </w:rPr>
                    <w:t>-</w:t>
                  </w:r>
                </w:p>
              </w:tc>
            </w:tr>
          </w:tbl>
          <w:p>
            <w:pPr>
              <w:spacing w:line="360" w:lineRule="auto"/>
              <w:ind w:firstLine="0" w:firstLineChars="0"/>
              <w:jc w:val="both"/>
              <w:rPr>
                <w:b/>
                <w:color w:val="000000"/>
                <w:szCs w:val="28"/>
              </w:rPr>
            </w:pPr>
            <w:r>
              <w:rPr>
                <w:rFonts w:hint="eastAsia"/>
                <w:b/>
                <w:color w:val="000000"/>
                <w:szCs w:val="28"/>
              </w:rPr>
              <w:t>4、声环境</w:t>
            </w:r>
          </w:p>
          <w:p>
            <w:pPr>
              <w:ind w:firstLine="560"/>
              <w:jc w:val="both"/>
              <w:rPr>
                <w:rFonts w:eastAsiaTheme="minorEastAsia"/>
                <w:color w:val="000000"/>
                <w:szCs w:val="24"/>
              </w:rPr>
            </w:pPr>
            <w:r>
              <w:t>执行《声环境质量标准》（GB3096-2008）中2类标准。</w:t>
            </w:r>
          </w:p>
          <w:p>
            <w:pPr>
              <w:spacing w:line="240" w:lineRule="auto"/>
              <w:ind w:firstLine="422"/>
              <w:jc w:val="center"/>
              <w:rPr>
                <w:b/>
                <w:color w:val="000000"/>
                <w:sz w:val="21"/>
                <w:shd w:val="clear" w:color="auto" w:fill="FFFFFF"/>
              </w:rPr>
            </w:pPr>
            <w:r>
              <w:rPr>
                <w:b/>
                <w:color w:val="000000"/>
                <w:sz w:val="21"/>
                <w:shd w:val="clear" w:color="auto" w:fill="FFFFFF"/>
              </w:rPr>
              <w:t>表4-4  声环境质量标准   单位 dB（A）</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992"/>
              <w:gridCol w:w="29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1" w:type="pct"/>
                  <w:tcBorders>
                    <w:tl2br w:val="nil"/>
                    <w:tr2bl w:val="nil"/>
                  </w:tcBorders>
                  <w:shd w:val="clear" w:color="auto" w:fill="auto"/>
                  <w:vAlign w:val="center"/>
                </w:tcPr>
                <w:p>
                  <w:pPr>
                    <w:pStyle w:val="46"/>
                    <w:widowControl/>
                    <w:spacing w:line="240" w:lineRule="auto"/>
                    <w:ind w:firstLine="0" w:firstLineChars="0"/>
                    <w:rPr>
                      <w:b/>
                      <w:color w:val="000000"/>
                      <w:sz w:val="21"/>
                      <w:szCs w:val="21"/>
                    </w:rPr>
                  </w:pPr>
                  <w:r>
                    <w:rPr>
                      <w:b/>
                      <w:color w:val="000000"/>
                      <w:sz w:val="21"/>
                      <w:szCs w:val="21"/>
                    </w:rPr>
                    <w:t>类别</w:t>
                  </w:r>
                </w:p>
              </w:tc>
              <w:tc>
                <w:tcPr>
                  <w:tcW w:w="1857" w:type="pct"/>
                  <w:tcBorders>
                    <w:tl2br w:val="nil"/>
                    <w:tr2bl w:val="nil"/>
                  </w:tcBorders>
                  <w:shd w:val="clear" w:color="auto" w:fill="auto"/>
                  <w:vAlign w:val="center"/>
                </w:tcPr>
                <w:p>
                  <w:pPr>
                    <w:pStyle w:val="46"/>
                    <w:widowControl/>
                    <w:spacing w:line="240" w:lineRule="auto"/>
                    <w:ind w:firstLine="0" w:firstLineChars="0"/>
                    <w:rPr>
                      <w:b/>
                      <w:color w:val="000000"/>
                      <w:sz w:val="21"/>
                      <w:szCs w:val="21"/>
                    </w:rPr>
                  </w:pPr>
                  <w:r>
                    <w:rPr>
                      <w:b/>
                      <w:color w:val="000000"/>
                      <w:sz w:val="21"/>
                      <w:szCs w:val="21"/>
                    </w:rPr>
                    <w:t>昼 间</w:t>
                  </w:r>
                </w:p>
              </w:tc>
              <w:tc>
                <w:tcPr>
                  <w:tcW w:w="1801" w:type="pct"/>
                  <w:tcBorders>
                    <w:tl2br w:val="nil"/>
                    <w:tr2bl w:val="nil"/>
                  </w:tcBorders>
                  <w:shd w:val="clear" w:color="auto" w:fill="auto"/>
                  <w:vAlign w:val="center"/>
                </w:tcPr>
                <w:p>
                  <w:pPr>
                    <w:pStyle w:val="46"/>
                    <w:widowControl/>
                    <w:spacing w:line="240" w:lineRule="auto"/>
                    <w:ind w:firstLine="0" w:firstLineChars="0"/>
                    <w:rPr>
                      <w:b/>
                      <w:color w:val="000000"/>
                      <w:sz w:val="21"/>
                      <w:szCs w:val="21"/>
                    </w:rPr>
                  </w:pPr>
                  <w:r>
                    <w:rPr>
                      <w:b/>
                      <w:color w:val="000000"/>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1" w:type="pct"/>
                  <w:tcBorders>
                    <w:tl2br w:val="nil"/>
                    <w:tr2bl w:val="nil"/>
                  </w:tcBorders>
                  <w:shd w:val="clear" w:color="auto" w:fill="auto"/>
                  <w:vAlign w:val="center"/>
                </w:tcPr>
                <w:p>
                  <w:pPr>
                    <w:pStyle w:val="46"/>
                    <w:widowControl/>
                    <w:spacing w:line="240" w:lineRule="auto"/>
                    <w:ind w:firstLine="0" w:firstLineChars="0"/>
                    <w:rPr>
                      <w:b/>
                      <w:color w:val="000000"/>
                      <w:sz w:val="21"/>
                      <w:szCs w:val="21"/>
                    </w:rPr>
                  </w:pPr>
                  <w:r>
                    <w:rPr>
                      <w:b/>
                      <w:color w:val="000000"/>
                      <w:sz w:val="21"/>
                      <w:szCs w:val="21"/>
                    </w:rPr>
                    <w:t>2类</w:t>
                  </w:r>
                </w:p>
              </w:tc>
              <w:tc>
                <w:tcPr>
                  <w:tcW w:w="1857" w:type="pct"/>
                  <w:tcBorders>
                    <w:tl2br w:val="nil"/>
                    <w:tr2bl w:val="nil"/>
                  </w:tcBorders>
                  <w:shd w:val="clear" w:color="auto" w:fill="auto"/>
                  <w:vAlign w:val="center"/>
                </w:tcPr>
                <w:p>
                  <w:pPr>
                    <w:pStyle w:val="46"/>
                    <w:widowControl/>
                    <w:spacing w:line="240" w:lineRule="auto"/>
                    <w:ind w:firstLine="0" w:firstLineChars="0"/>
                    <w:rPr>
                      <w:color w:val="000000"/>
                      <w:sz w:val="21"/>
                      <w:szCs w:val="21"/>
                    </w:rPr>
                  </w:pPr>
                  <w:r>
                    <w:rPr>
                      <w:color w:val="000000"/>
                      <w:sz w:val="21"/>
                      <w:szCs w:val="21"/>
                    </w:rPr>
                    <w:t>60</w:t>
                  </w:r>
                </w:p>
              </w:tc>
              <w:tc>
                <w:tcPr>
                  <w:tcW w:w="1801" w:type="pct"/>
                  <w:tcBorders>
                    <w:tl2br w:val="nil"/>
                    <w:tr2bl w:val="nil"/>
                  </w:tcBorders>
                  <w:shd w:val="clear" w:color="auto" w:fill="auto"/>
                  <w:vAlign w:val="center"/>
                </w:tcPr>
                <w:p>
                  <w:pPr>
                    <w:pStyle w:val="46"/>
                    <w:widowControl/>
                    <w:spacing w:line="240" w:lineRule="auto"/>
                    <w:ind w:firstLine="0" w:firstLineChars="0"/>
                    <w:rPr>
                      <w:color w:val="000000"/>
                      <w:sz w:val="21"/>
                      <w:szCs w:val="21"/>
                    </w:rPr>
                  </w:pPr>
                  <w:r>
                    <w:rPr>
                      <w:color w:val="000000"/>
                      <w:sz w:val="21"/>
                      <w:szCs w:val="21"/>
                    </w:rPr>
                    <w:t>50</w:t>
                  </w:r>
                </w:p>
              </w:tc>
            </w:tr>
          </w:tbl>
          <w:p>
            <w:pPr>
              <w:snapToGrid w:val="0"/>
              <w:ind w:firstLine="0" w:firstLineChars="0"/>
              <w:jc w:val="both"/>
              <w:textAlignment w:val="baseline"/>
              <w:rPr>
                <w:rFonts w:eastAsiaTheme="minorEastAsia"/>
                <w:b/>
                <w:color w:val="00000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tl2br w:val="nil"/>
              <w:tr2bl w:val="nil"/>
            </w:tcBorders>
            <w:vAlign w:val="center"/>
          </w:tcPr>
          <w:p>
            <w:pPr>
              <w:snapToGrid w:val="0"/>
              <w:ind w:firstLine="0" w:firstLineChars="0"/>
              <w:jc w:val="center"/>
              <w:textAlignment w:val="baseline"/>
              <w:outlineLvl w:val="0"/>
              <w:rPr>
                <w:rFonts w:eastAsiaTheme="minorEastAsia"/>
                <w:b/>
                <w:color w:val="000000"/>
                <w:sz w:val="32"/>
                <w:szCs w:val="20"/>
              </w:rPr>
            </w:pPr>
            <w:bookmarkStart w:id="23" w:name="_Toc24561"/>
            <w:r>
              <w:rPr>
                <w:b/>
                <w:color w:val="000000"/>
                <w:szCs w:val="24"/>
              </w:rPr>
              <w:t>污染物排放标准</w:t>
            </w:r>
            <w:bookmarkEnd w:id="23"/>
          </w:p>
        </w:tc>
        <w:tc>
          <w:tcPr>
            <w:tcW w:w="8273" w:type="dxa"/>
            <w:tcBorders>
              <w:tl2br w:val="nil"/>
              <w:tr2bl w:val="nil"/>
            </w:tcBorders>
          </w:tcPr>
          <w:p>
            <w:pPr>
              <w:spacing w:line="360" w:lineRule="auto"/>
              <w:ind w:firstLine="0" w:firstLineChars="0"/>
              <w:jc w:val="both"/>
              <w:rPr>
                <w:b/>
                <w:color w:val="000000"/>
                <w:szCs w:val="28"/>
              </w:rPr>
            </w:pPr>
            <w:r>
              <w:rPr>
                <w:rFonts w:hint="eastAsia"/>
                <w:b/>
                <w:color w:val="000000"/>
                <w:szCs w:val="28"/>
              </w:rPr>
              <w:t>1、废气</w:t>
            </w:r>
          </w:p>
          <w:p>
            <w:pPr>
              <w:ind w:firstLine="560"/>
              <w:jc w:val="both"/>
            </w:pPr>
            <w:r>
              <w:t>（1）油气</w:t>
            </w:r>
          </w:p>
          <w:p>
            <w:pPr>
              <w:ind w:firstLine="560"/>
              <w:jc w:val="both"/>
            </w:pPr>
            <w:r>
              <w:t>①油气执行《加油站大气污染物排放标准》（GB 20952-2007）：</w:t>
            </w:r>
            <w:r>
              <w:rPr>
                <w:rFonts w:hint="eastAsia"/>
              </w:rPr>
              <w:t>根据GB20952-2007，油气回收装置对非甲烷总烃排放浓度应小于25g/m</w:t>
            </w:r>
            <w:r>
              <w:rPr>
                <w:rFonts w:hint="eastAsia"/>
                <w:vertAlign w:val="superscript"/>
              </w:rPr>
              <w:t>3</w:t>
            </w:r>
            <w:r>
              <w:t>。</w:t>
            </w:r>
          </w:p>
          <w:p>
            <w:pPr>
              <w:ind w:firstLine="560"/>
              <w:jc w:val="both"/>
            </w:pPr>
            <w:r>
              <w:t>②</w:t>
            </w:r>
            <w:r>
              <w:rPr>
                <w:rFonts w:hint="eastAsia"/>
              </w:rPr>
              <w:t>厂界非甲烷总烃</w:t>
            </w:r>
            <w:r>
              <w:t>无组织</w:t>
            </w:r>
            <w:r>
              <w:rPr>
                <w:rFonts w:hint="eastAsia"/>
              </w:rPr>
              <w:t>排放</w:t>
            </w:r>
            <w:r>
              <w:t>油气参照执行《大气污染物综合排放标准》（GB16297-2012）表2无组织排放监控浓度限值。</w:t>
            </w:r>
          </w:p>
          <w:p>
            <w:pPr>
              <w:bidi w:val="0"/>
            </w:pPr>
          </w:p>
          <w:p>
            <w:pPr>
              <w:spacing w:line="240" w:lineRule="auto"/>
              <w:ind w:firstLine="422"/>
              <w:jc w:val="center"/>
              <w:rPr>
                <w:b/>
                <w:color w:val="000000"/>
                <w:sz w:val="21"/>
                <w:shd w:val="clear" w:color="auto" w:fill="FFFFFF"/>
              </w:rPr>
            </w:pPr>
            <w:r>
              <w:rPr>
                <w:b/>
                <w:color w:val="000000"/>
                <w:sz w:val="21"/>
                <w:shd w:val="clear" w:color="auto" w:fill="FFFFFF"/>
              </w:rPr>
              <w:t>表4-5  大气污染物排放标准</w:t>
            </w:r>
          </w:p>
          <w:tbl>
            <w:tblPr>
              <w:tblStyle w:val="26"/>
              <w:tblW w:w="7959" w:type="dxa"/>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144"/>
              <w:gridCol w:w="1048"/>
              <w:gridCol w:w="1617"/>
              <w:gridCol w:w="15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1597" w:type="dxa"/>
                  <w:vMerge w:val="restart"/>
                  <w:tcBorders>
                    <w:tl2br w:val="nil"/>
                    <w:tr2bl w:val="nil"/>
                  </w:tcBorders>
                  <w:shd w:val="clear" w:color="auto" w:fill="auto"/>
                  <w:vAlign w:val="center"/>
                </w:tcPr>
                <w:p>
                  <w:pPr>
                    <w:snapToGrid w:val="0"/>
                    <w:spacing w:line="240" w:lineRule="auto"/>
                    <w:ind w:firstLine="0" w:firstLineChars="0"/>
                    <w:jc w:val="center"/>
                    <w:rPr>
                      <w:b/>
                      <w:color w:val="000000"/>
                      <w:sz w:val="21"/>
                    </w:rPr>
                  </w:pPr>
                  <w:r>
                    <w:rPr>
                      <w:b/>
                      <w:color w:val="000000"/>
                      <w:sz w:val="21"/>
                    </w:rPr>
                    <w:t>污染物</w:t>
                  </w:r>
                </w:p>
              </w:tc>
              <w:tc>
                <w:tcPr>
                  <w:tcW w:w="3192" w:type="dxa"/>
                  <w:gridSpan w:val="2"/>
                  <w:tcBorders>
                    <w:tl2br w:val="nil"/>
                    <w:tr2bl w:val="nil"/>
                  </w:tcBorders>
                  <w:shd w:val="clear" w:color="auto" w:fill="auto"/>
                  <w:vAlign w:val="center"/>
                </w:tcPr>
                <w:p>
                  <w:pPr>
                    <w:snapToGrid w:val="0"/>
                    <w:spacing w:line="240" w:lineRule="auto"/>
                    <w:ind w:firstLine="0" w:firstLineChars="0"/>
                    <w:jc w:val="center"/>
                    <w:rPr>
                      <w:b/>
                      <w:color w:val="000000"/>
                      <w:sz w:val="21"/>
                    </w:rPr>
                  </w:pPr>
                  <w:r>
                    <w:rPr>
                      <w:b/>
                      <w:color w:val="000000"/>
                      <w:sz w:val="21"/>
                    </w:rPr>
                    <w:t>《大气污染物综合排放标准》（GB16297-1996）</w:t>
                  </w:r>
                </w:p>
              </w:tc>
              <w:tc>
                <w:tcPr>
                  <w:tcW w:w="3170" w:type="dxa"/>
                  <w:gridSpan w:val="2"/>
                  <w:tcBorders>
                    <w:tl2br w:val="nil"/>
                    <w:tr2bl w:val="nil"/>
                  </w:tcBorders>
                  <w:shd w:val="clear" w:color="auto" w:fill="auto"/>
                  <w:vAlign w:val="center"/>
                </w:tcPr>
                <w:p>
                  <w:pPr>
                    <w:snapToGrid w:val="0"/>
                    <w:spacing w:line="240" w:lineRule="auto"/>
                    <w:ind w:firstLine="0" w:firstLineChars="0"/>
                    <w:jc w:val="center"/>
                    <w:rPr>
                      <w:b/>
                      <w:color w:val="000000"/>
                      <w:sz w:val="21"/>
                    </w:rPr>
                  </w:pPr>
                  <w:r>
                    <w:rPr>
                      <w:b/>
                      <w:color w:val="000000"/>
                      <w:sz w:val="21"/>
                    </w:rPr>
                    <w:t>《加油站大气污染物排放标准》（GB20952-2007）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1597" w:type="dxa"/>
                  <w:vMerge w:val="continue"/>
                  <w:tcBorders>
                    <w:tl2br w:val="nil"/>
                    <w:tr2bl w:val="nil"/>
                  </w:tcBorders>
                  <w:shd w:val="clear" w:color="auto" w:fill="auto"/>
                  <w:vAlign w:val="center"/>
                </w:tcPr>
                <w:p>
                  <w:pPr>
                    <w:snapToGrid w:val="0"/>
                    <w:spacing w:line="240" w:lineRule="auto"/>
                    <w:ind w:firstLine="0" w:firstLineChars="0"/>
                    <w:rPr>
                      <w:b/>
                      <w:sz w:val="21"/>
                    </w:rPr>
                  </w:pPr>
                </w:p>
              </w:tc>
              <w:tc>
                <w:tcPr>
                  <w:tcW w:w="2144"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无组织排放监控控点</w:t>
                  </w:r>
                </w:p>
              </w:tc>
              <w:tc>
                <w:tcPr>
                  <w:tcW w:w="1048"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(mg/m</w:t>
                  </w:r>
                  <w:r>
                    <w:rPr>
                      <w:bCs/>
                      <w:color w:val="000000"/>
                      <w:sz w:val="21"/>
                      <w:vertAlign w:val="superscript"/>
                    </w:rPr>
                    <w:t>3</w:t>
                  </w:r>
                  <w:r>
                    <w:rPr>
                      <w:bCs/>
                      <w:color w:val="000000"/>
                      <w:sz w:val="21"/>
                    </w:rPr>
                    <w:t>)</w:t>
                  </w:r>
                </w:p>
              </w:tc>
              <w:tc>
                <w:tcPr>
                  <w:tcW w:w="1617"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排放口</w:t>
                  </w:r>
                </w:p>
              </w:tc>
              <w:tc>
                <w:tcPr>
                  <w:tcW w:w="1553"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(g/m</w:t>
                  </w:r>
                  <w:r>
                    <w:rPr>
                      <w:bCs/>
                      <w:color w:val="000000"/>
                      <w:sz w:val="21"/>
                      <w:vertAlign w:val="superscript"/>
                    </w:rPr>
                    <w:t>3</w:t>
                  </w:r>
                  <w:r>
                    <w:rPr>
                      <w:bCs/>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597" w:type="dxa"/>
                  <w:tcBorders>
                    <w:tl2br w:val="nil"/>
                    <w:tr2bl w:val="nil"/>
                  </w:tcBorders>
                  <w:shd w:val="clear" w:color="auto" w:fill="auto"/>
                  <w:vAlign w:val="center"/>
                </w:tcPr>
                <w:p>
                  <w:pPr>
                    <w:snapToGrid w:val="0"/>
                    <w:spacing w:line="240" w:lineRule="auto"/>
                    <w:ind w:firstLine="0" w:firstLineChars="0"/>
                    <w:jc w:val="center"/>
                    <w:rPr>
                      <w:b/>
                      <w:color w:val="000000"/>
                      <w:sz w:val="21"/>
                    </w:rPr>
                  </w:pPr>
                  <w:r>
                    <w:rPr>
                      <w:b/>
                      <w:color w:val="000000"/>
                      <w:sz w:val="21"/>
                    </w:rPr>
                    <w:t>非甲烷总烃</w:t>
                  </w:r>
                </w:p>
              </w:tc>
              <w:tc>
                <w:tcPr>
                  <w:tcW w:w="2144"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周界外</w:t>
                  </w:r>
                </w:p>
              </w:tc>
              <w:tc>
                <w:tcPr>
                  <w:tcW w:w="1048"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4.0</w:t>
                  </w:r>
                </w:p>
              </w:tc>
              <w:tc>
                <w:tcPr>
                  <w:tcW w:w="1617"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w:t>
                  </w:r>
                </w:p>
              </w:tc>
              <w:tc>
                <w:tcPr>
                  <w:tcW w:w="1553"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597" w:type="dxa"/>
                  <w:tcBorders>
                    <w:tl2br w:val="nil"/>
                    <w:tr2bl w:val="nil"/>
                  </w:tcBorders>
                  <w:shd w:val="clear" w:color="auto" w:fill="auto"/>
                  <w:vAlign w:val="center"/>
                </w:tcPr>
                <w:p>
                  <w:pPr>
                    <w:snapToGrid w:val="0"/>
                    <w:spacing w:line="240" w:lineRule="auto"/>
                    <w:ind w:firstLine="0" w:firstLineChars="0"/>
                    <w:jc w:val="center"/>
                    <w:rPr>
                      <w:b/>
                      <w:color w:val="000000"/>
                      <w:sz w:val="21"/>
                    </w:rPr>
                  </w:pPr>
                  <w:r>
                    <w:rPr>
                      <w:b/>
                      <w:color w:val="000000"/>
                      <w:sz w:val="21"/>
                    </w:rPr>
                    <w:t>油气（VOCs）</w:t>
                  </w:r>
                </w:p>
              </w:tc>
              <w:tc>
                <w:tcPr>
                  <w:tcW w:w="2144"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w:t>
                  </w:r>
                </w:p>
              </w:tc>
              <w:tc>
                <w:tcPr>
                  <w:tcW w:w="1048"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w:t>
                  </w:r>
                </w:p>
              </w:tc>
              <w:tc>
                <w:tcPr>
                  <w:tcW w:w="1617"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排放口</w:t>
                  </w:r>
                </w:p>
              </w:tc>
              <w:tc>
                <w:tcPr>
                  <w:tcW w:w="1553" w:type="dxa"/>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25</w:t>
                  </w:r>
                </w:p>
              </w:tc>
            </w:tr>
          </w:tbl>
          <w:p>
            <w:pPr>
              <w:spacing w:line="360" w:lineRule="auto"/>
              <w:ind w:firstLine="0" w:firstLineChars="0"/>
              <w:jc w:val="both"/>
              <w:rPr>
                <w:b/>
                <w:color w:val="000000"/>
                <w:szCs w:val="28"/>
                <w:u w:val="wave"/>
              </w:rPr>
            </w:pPr>
            <w:r>
              <w:rPr>
                <w:rFonts w:hint="eastAsia"/>
                <w:b/>
                <w:color w:val="000000"/>
                <w:szCs w:val="28"/>
                <w:u w:val="wave"/>
              </w:rPr>
              <w:t>2、废水</w:t>
            </w:r>
          </w:p>
          <w:p>
            <w:pPr>
              <w:ind w:firstLine="560"/>
              <w:jc w:val="both"/>
              <w:rPr>
                <w:u w:val="wave"/>
              </w:rPr>
            </w:pPr>
            <w:r>
              <w:rPr>
                <w:u w:val="wave"/>
              </w:rPr>
              <w:t>生活污水经经化粪池预处理后用作农肥；场地冲洗废水</w:t>
            </w:r>
            <w:r>
              <w:rPr>
                <w:rFonts w:hint="eastAsia"/>
                <w:u w:val="wave"/>
              </w:rPr>
              <w:t>经隔油池沉淀池处理后</w:t>
            </w:r>
            <w:r>
              <w:rPr>
                <w:u w:val="wave"/>
              </w:rPr>
              <w:t>执行《农田灌溉水质标准》（GB5084-2005）</w:t>
            </w:r>
            <w:r>
              <w:rPr>
                <w:rFonts w:hint="eastAsia"/>
                <w:u w:val="wave"/>
              </w:rPr>
              <w:t>用于场地及周边绿化</w:t>
            </w:r>
            <w:r>
              <w:rPr>
                <w:u w:val="wave"/>
              </w:rPr>
              <w:t>，不外排。</w:t>
            </w:r>
          </w:p>
          <w:p>
            <w:pPr>
              <w:spacing w:line="360" w:lineRule="auto"/>
              <w:ind w:firstLine="0" w:firstLineChars="0"/>
              <w:jc w:val="both"/>
              <w:rPr>
                <w:b/>
                <w:color w:val="000000"/>
                <w:szCs w:val="28"/>
                <w:u w:val="wave"/>
              </w:rPr>
            </w:pPr>
            <w:r>
              <w:rPr>
                <w:rFonts w:hint="eastAsia"/>
                <w:b/>
                <w:color w:val="000000"/>
                <w:szCs w:val="28"/>
                <w:u w:val="wave"/>
              </w:rPr>
              <w:t>3、噪声</w:t>
            </w:r>
          </w:p>
          <w:p>
            <w:pPr>
              <w:ind w:firstLine="560"/>
              <w:jc w:val="both"/>
              <w:rPr>
                <w:u w:val="wave"/>
              </w:rPr>
            </w:pPr>
            <w:r>
              <w:rPr>
                <w:rFonts w:hint="eastAsia"/>
                <w:u w:val="wave"/>
              </w:rPr>
              <w:t>执行《工业企业厂界环境噪声排放标准》（GB 12348-2008）中的2类标准。</w:t>
            </w:r>
          </w:p>
          <w:p>
            <w:pPr>
              <w:spacing w:line="360" w:lineRule="auto"/>
              <w:ind w:firstLine="0" w:firstLineChars="0"/>
              <w:jc w:val="both"/>
              <w:rPr>
                <w:b/>
                <w:color w:val="000000"/>
                <w:szCs w:val="28"/>
                <w:u w:val="wave"/>
              </w:rPr>
            </w:pPr>
            <w:r>
              <w:rPr>
                <w:rFonts w:hint="eastAsia"/>
                <w:b/>
                <w:color w:val="000000"/>
                <w:szCs w:val="28"/>
                <w:u w:val="wave"/>
              </w:rPr>
              <w:t>4、固体废物</w:t>
            </w:r>
          </w:p>
          <w:p>
            <w:pPr>
              <w:ind w:firstLine="560"/>
              <w:jc w:val="both"/>
            </w:pPr>
            <w:r>
              <w:rPr>
                <w:rFonts w:hint="eastAsia"/>
                <w:u w:val="wave"/>
              </w:rPr>
              <w:t>危险废物执行《危险废物贮存污染控制标准》（GB18597-2001）及2013修改单有关要求；生活垃圾执行《生活垃圾填埋场污染控制标准》（GB16889-2008）。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dxa"/>
            <w:tcBorders>
              <w:tl2br w:val="nil"/>
              <w:tr2bl w:val="nil"/>
            </w:tcBorders>
            <w:vAlign w:val="center"/>
          </w:tcPr>
          <w:p>
            <w:pPr>
              <w:snapToGrid w:val="0"/>
              <w:ind w:firstLine="0" w:firstLineChars="0"/>
              <w:jc w:val="center"/>
              <w:textAlignment w:val="baseline"/>
              <w:outlineLvl w:val="0"/>
              <w:rPr>
                <w:rFonts w:eastAsiaTheme="minorEastAsia"/>
                <w:b/>
                <w:color w:val="000000"/>
                <w:sz w:val="32"/>
                <w:szCs w:val="20"/>
              </w:rPr>
            </w:pPr>
            <w:bookmarkStart w:id="24" w:name="_Toc5662"/>
            <w:r>
              <w:rPr>
                <w:b/>
                <w:color w:val="000000"/>
                <w:szCs w:val="24"/>
              </w:rPr>
              <w:t>总量控制指标</w:t>
            </w:r>
            <w:bookmarkEnd w:id="24"/>
          </w:p>
        </w:tc>
        <w:tc>
          <w:tcPr>
            <w:tcW w:w="8273" w:type="dxa"/>
            <w:tcBorders>
              <w:tl2br w:val="nil"/>
              <w:tr2bl w:val="nil"/>
            </w:tcBorders>
          </w:tcPr>
          <w:p>
            <w:pPr>
              <w:ind w:firstLine="560"/>
              <w:jc w:val="both"/>
            </w:pPr>
            <w:r>
              <w:t>根据本工程的具体情况，结合国家污染物排放总量控制原则，</w:t>
            </w:r>
            <w:r>
              <w:rPr>
                <w:rFonts w:hint="eastAsia"/>
              </w:rPr>
              <w:t>建议总量控制指标为VOC：</w:t>
            </w:r>
            <w:r>
              <w:rPr>
                <w:rFonts w:hint="eastAsia" w:ascii="Times New Roman" w:hAnsi="Times New Roman" w:cs="Times New Roman"/>
                <w:szCs w:val="28"/>
                <w:lang w:val="en-US" w:eastAsia="zh-CN"/>
              </w:rPr>
              <w:t>28.9044</w:t>
            </w:r>
            <w:r>
              <w:rPr>
                <w:szCs w:val="28"/>
              </w:rPr>
              <w:t>kg/a</w:t>
            </w:r>
          </w:p>
          <w:p>
            <w:pPr>
              <w:ind w:firstLine="0" w:firstLineChars="0"/>
              <w:jc w:val="both"/>
              <w:rPr>
                <w:rFonts w:eastAsiaTheme="minorEastAsia"/>
                <w:b/>
                <w:color w:val="000000"/>
                <w:szCs w:val="20"/>
              </w:rPr>
            </w:pPr>
          </w:p>
        </w:tc>
      </w:tr>
    </w:tbl>
    <w:p>
      <w:pPr>
        <w:pStyle w:val="3"/>
        <w:numPr>
          <w:ilvl w:val="0"/>
          <w:numId w:val="6"/>
        </w:numPr>
        <w:spacing w:before="0" w:after="0" w:line="240" w:lineRule="auto"/>
        <w:ind w:firstLine="0" w:firstLineChars="0"/>
        <w:sectPr>
          <w:pgSz w:w="12240" w:h="15840"/>
          <w:pgMar w:top="1440" w:right="1800" w:bottom="1440" w:left="1800" w:header="720" w:footer="720" w:gutter="0"/>
          <w:cols w:space="425" w:num="1"/>
          <w:docGrid w:type="lines" w:linePitch="312" w:charSpace="0"/>
        </w:sectPr>
      </w:pPr>
      <w:bookmarkStart w:id="25" w:name="_Toc18374"/>
      <w:bookmarkStart w:id="26" w:name="_Toc460481178"/>
      <w:bookmarkStart w:id="27" w:name="_Toc11654"/>
      <w:bookmarkStart w:id="28" w:name="_Toc32030"/>
      <w:bookmarkStart w:id="29" w:name="_Toc18534"/>
      <w:bookmarkStart w:id="30" w:name="_Toc7171"/>
      <w:bookmarkStart w:id="31" w:name="_Toc14852"/>
      <w:bookmarkStart w:id="32" w:name="_Toc20966"/>
      <w:bookmarkStart w:id="33" w:name="_Toc11802"/>
    </w:p>
    <w:p>
      <w:pPr>
        <w:pStyle w:val="3"/>
        <w:numPr>
          <w:ilvl w:val="0"/>
          <w:numId w:val="6"/>
        </w:numPr>
        <w:spacing w:before="0" w:after="0" w:line="240" w:lineRule="auto"/>
        <w:ind w:firstLine="0" w:firstLineChars="0"/>
      </w:pPr>
      <w:r>
        <w:t>建设项目工程分析</w:t>
      </w:r>
      <w:bookmarkEnd w:id="25"/>
      <w:bookmarkEnd w:id="26"/>
      <w:bookmarkEnd w:id="27"/>
      <w:bookmarkEnd w:id="28"/>
      <w:bookmarkEnd w:id="29"/>
      <w:bookmarkEnd w:id="30"/>
      <w:bookmarkEnd w:id="31"/>
      <w:bookmarkEnd w:id="32"/>
      <w:bookmarkEnd w:id="33"/>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spacing w:line="360" w:lineRule="auto"/>
              <w:ind w:firstLine="0" w:firstLineChars="0"/>
              <w:jc w:val="both"/>
              <w:rPr>
                <w:b/>
                <w:bCs/>
              </w:rPr>
            </w:pPr>
            <w:r>
              <w:rPr>
                <w:b/>
                <w:bCs/>
              </w:rPr>
              <mc:AlternateContent>
                <mc:Choice Requires="wps">
                  <w:drawing>
                    <wp:anchor distT="0" distB="0" distL="114300" distR="114300" simplePos="0" relativeHeight="250609664" behindDoc="0" locked="0" layoutInCell="0" allowOverlap="1">
                      <wp:simplePos x="0" y="0"/>
                      <wp:positionH relativeFrom="column">
                        <wp:posOffset>-1511300</wp:posOffset>
                      </wp:positionH>
                      <wp:positionV relativeFrom="paragraph">
                        <wp:posOffset>3279775</wp:posOffset>
                      </wp:positionV>
                      <wp:extent cx="635" cy="361950"/>
                      <wp:effectExtent l="76200" t="0" r="56515" b="38100"/>
                      <wp:wrapNone/>
                      <wp:docPr id="4" name="直线 2"/>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 o:spid="_x0000_s1026" o:spt="20" style="position:absolute;left:0pt;margin-left:-119pt;margin-top:258.25pt;height:28.5pt;width:0.05pt;z-index:250609664;mso-width-relative:page;mso-height-relative:page;" filled="f" stroked="t" coordsize="21600,21600" o:allowincell="f" o:gfxdata="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zjdLdAAAADQEAAA8AAAAAAAAAAQAgAAAAIgAAAGRycy9kb3ducmV2LnhtbFBLAQIU&#10;ABQAAAAIAIdO4kCHCm927gEAAOIDAAAOAAAAAAAAAAEAIAAAACwBAABkcnMvZTJvRG9jLnhtbFBL&#10;BQYAAAAABgAGAFkBAACMBQAAAAA=&#10;">
                      <v:fill on="f" focussize="0,0"/>
                      <v:stroke color="#000000" joinstyle="round" endarrow="block"/>
                      <v:imagedata o:title=""/>
                      <o:lock v:ext="edit" aspectratio="f"/>
                    </v:line>
                  </w:pict>
                </mc:Fallback>
              </mc:AlternateContent>
            </w:r>
            <w:r>
              <w:rPr>
                <w:b/>
                <w:bCs/>
              </w:rPr>
              <mc:AlternateContent>
                <mc:Choice Requires="wps">
                  <w:drawing>
                    <wp:anchor distT="0" distB="0" distL="114300" distR="114300" simplePos="0" relativeHeight="248512512" behindDoc="0" locked="0" layoutInCell="0" allowOverlap="1">
                      <wp:simplePos x="0" y="0"/>
                      <wp:positionH relativeFrom="column">
                        <wp:posOffset>-1422400</wp:posOffset>
                      </wp:positionH>
                      <wp:positionV relativeFrom="paragraph">
                        <wp:posOffset>2555875</wp:posOffset>
                      </wp:positionV>
                      <wp:extent cx="635" cy="361950"/>
                      <wp:effectExtent l="76200" t="0" r="56515" b="38100"/>
                      <wp:wrapNone/>
                      <wp:docPr id="3" name="直线 3"/>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3" o:spid="_x0000_s1026" o:spt="20" style="position:absolute;left:0pt;margin-left:-112pt;margin-top:201.25pt;height:28.5pt;width:0.05pt;z-index:248512512;mso-width-relative:page;mso-height-relative:page;" filled="f" stroked="t" coordsize="21600,21600" o:allowincell="f" o:gfxdata="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hHfTdAAAADQEAAA8AAAAAAAAAAQAgAAAAIgAAAGRycy9kb3ducmV2LnhtbFBLAQIU&#10;ABQAAAAIAIdO4kAc5H0Q7gEAAOIDAAAOAAAAAAAAAAEAIAAAACwBAABkcnMvZTJvRG9jLnhtbFBL&#10;BQYAAAAABgAGAFkBAACMBQAAAAA=&#10;">
                      <v:fill on="f" focussize="0,0"/>
                      <v:stroke color="#000000" joinstyle="round" endarrow="block"/>
                      <v:imagedata o:title=""/>
                      <o:lock v:ext="edit" aspectratio="f"/>
                    </v:line>
                  </w:pict>
                </mc:Fallback>
              </mc:AlternateContent>
            </w:r>
            <w:r>
              <w:rPr>
                <w:b/>
                <w:bCs/>
              </w:rPr>
              <mc:AlternateContent>
                <mc:Choice Requires="wps">
                  <w:drawing>
                    <wp:anchor distT="0" distB="0" distL="114300" distR="114300" simplePos="0" relativeHeight="246415360" behindDoc="0" locked="0" layoutInCell="0" allowOverlap="1">
                      <wp:simplePos x="0" y="0"/>
                      <wp:positionH relativeFrom="column">
                        <wp:posOffset>-1244600</wp:posOffset>
                      </wp:positionH>
                      <wp:positionV relativeFrom="paragraph">
                        <wp:posOffset>2073275</wp:posOffset>
                      </wp:positionV>
                      <wp:extent cx="635" cy="361950"/>
                      <wp:effectExtent l="76200" t="0" r="56515" b="38100"/>
                      <wp:wrapNone/>
                      <wp:docPr id="2" name="直线 4"/>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4" o:spid="_x0000_s1026" o:spt="20" style="position:absolute;left:0pt;margin-left:-98pt;margin-top:163.25pt;height:28.5pt;width:0.05pt;z-index:246415360;mso-width-relative:page;mso-height-relative:page;" filled="f" stroked="t" coordsize="21600,21600" o:allowincell="f" o:gfxdata="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B/+cbdAAAADQEAAA8AAAAAAAAAAQAgAAAAIgAAAGRycy9kb3ducmV2LnhtbFBLAQIU&#10;ABQAAAAIAIdO4kCA4qCP7gEAAOIDAAAOAAAAAAAAAAEAIAAAACwBAABkcnMvZTJvRG9jLnhtbFBL&#10;BQYAAAAABgAGAFkBAACMBQAAAAA=&#10;">
                      <v:fill on="f" focussize="0,0"/>
                      <v:stroke color="#000000" joinstyle="round" endarrow="block"/>
                      <v:imagedata o:title=""/>
                      <o:lock v:ext="edit" aspectratio="f"/>
                    </v:line>
                  </w:pict>
                </mc:Fallback>
              </mc:AlternateContent>
            </w:r>
            <w:r>
              <w:rPr>
                <w:b/>
                <w:bCs/>
              </w:rPr>
              <w:t>工艺流程及产污节点简述：</w:t>
            </w:r>
          </w:p>
          <w:p>
            <w:pPr>
              <w:ind w:firstLine="560"/>
              <w:jc w:val="both"/>
            </w:pPr>
            <w:r>
              <w:t>项目已完成施工期建设，现已投入使用。经过现场勘查，项目施工期无环境遗留问题，未接到居民投诉，故本次评价不再对项目施工期进行工程分析，只针对项目运营期进行分析。</w:t>
            </w:r>
          </w:p>
          <w:p>
            <w:pPr>
              <w:ind w:firstLine="560"/>
              <w:jc w:val="both"/>
            </w:pPr>
            <w:r>
              <w:t>（1）生产工艺流程：</w:t>
            </w:r>
          </w:p>
          <w:p>
            <w:pPr>
              <w:ind w:firstLine="560"/>
              <w:jc w:val="both"/>
            </w:pPr>
            <w:r>
              <w:t>本项目生产工艺流程如下图：</w:t>
            </w:r>
          </w:p>
          <w:p>
            <w:pPr>
              <w:spacing w:line="240" w:lineRule="auto"/>
              <w:ind w:firstLine="0" w:firstLineChars="0"/>
              <w:jc w:val="both"/>
            </w:pPr>
            <w:r>
              <w:drawing>
                <wp:inline distT="0" distB="0" distL="114300" distR="114300">
                  <wp:extent cx="5480050" cy="2847975"/>
                  <wp:effectExtent l="0" t="0" r="6350" b="1905"/>
                  <wp:docPr id="1" name="ECB019B1-382A-4266-B25C-5B523AA43C14-1" descr="C:\Users\zzy\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zzy\Desktop\3.jpg3"/>
                          <pic:cNvPicPr>
                            <a:picLocks noChangeAspect="1"/>
                          </pic:cNvPicPr>
                        </pic:nvPicPr>
                        <pic:blipFill>
                          <a:blip r:embed="rId22"/>
                          <a:srcRect/>
                          <a:stretch>
                            <a:fillRect/>
                          </a:stretch>
                        </pic:blipFill>
                        <pic:spPr>
                          <a:xfrm>
                            <a:off x="0" y="0"/>
                            <a:ext cx="5480050" cy="2847975"/>
                          </a:xfrm>
                          <a:prstGeom prst="rect">
                            <a:avLst/>
                          </a:prstGeom>
                        </pic:spPr>
                      </pic:pic>
                    </a:graphicData>
                  </a:graphic>
                </wp:inline>
              </w:drawing>
            </w:r>
          </w:p>
          <w:p>
            <w:pPr>
              <w:pStyle w:val="47"/>
              <w:spacing w:line="240" w:lineRule="auto"/>
              <w:ind w:firstLine="422"/>
              <w:rPr>
                <w:rFonts w:hint="default" w:eastAsia="仿宋"/>
              </w:rPr>
            </w:pPr>
            <w:bookmarkStart w:id="34" w:name="_Ref445803789"/>
            <w:r>
              <w:rPr>
                <w:rFonts w:hint="default" w:eastAsia="仿宋"/>
              </w:rPr>
              <w:t>图</w:t>
            </w:r>
            <w:bookmarkEnd w:id="34"/>
            <w:r>
              <w:rPr>
                <w:rFonts w:hint="default" w:eastAsia="仿宋"/>
              </w:rPr>
              <w:t>5-1  营运期工艺流程及产污环节图</w:t>
            </w:r>
          </w:p>
          <w:p>
            <w:pPr>
              <w:ind w:firstLine="560"/>
              <w:jc w:val="both"/>
            </w:pPr>
            <w:r>
              <w:t>生产工艺流程简述：</w:t>
            </w:r>
          </w:p>
          <w:p>
            <w:pPr>
              <w:ind w:firstLine="560"/>
              <w:jc w:val="both"/>
            </w:pPr>
            <w:r>
              <w:t>SF储油罐：本项目严格按照国务院颁布的《水污染防治行动计划》（水十条）中第八条“全力保障水生态环境安全”中对加油站的要求——加油站地下油罐应于2017年底前全部更新为双层罐或完成防渗池设置。据建设单位介绍，本加油点地下油罐为</w:t>
            </w:r>
            <w:r>
              <w:rPr>
                <w:rFonts w:hint="eastAsia"/>
              </w:rPr>
              <w:t>2016</w:t>
            </w:r>
            <w:r>
              <w:t>年安装，采用的是SF储油罐，按规范做了防渗处理。</w:t>
            </w:r>
          </w:p>
          <w:p>
            <w:pPr>
              <w:ind w:firstLine="560"/>
              <w:jc w:val="both"/>
            </w:pPr>
            <w:r>
              <w:t>SF全名为钢制强化玻璃纤维制双层结构储油容器，是在单层钢制油罐外附加一层玻璃纤维增强塑料（即玻璃钢）防渗外套，从而构成的双层结构油罐。</w:t>
            </w:r>
            <w:r>
              <w:rPr>
                <w:u w:val="single"/>
              </w:rPr>
              <w:t>钢制内罐与FRP外罐之间具有贯通间隙空间。同时配备渗漏检测装置，能对间隙空间进行24小时全程监控。一旦内罐或外罐发生渗漏，渗漏检测装置的感应器可以监测到间隙空间底部液位时发出警报，保证油罐的安全使用。</w:t>
            </w:r>
            <w:r>
              <w:t>由于内罐接触的储液与外罐所接触的土壤、地下水，属于不同介质，对罐体材料腐蚀速率不同，在同一时间发生渗漏的概率几乎为零。因此，可以杜绝储液漏出罐外，做到了生产安全和保护环境。项目营运期各生产环节污染物产生情况详见下表5-1。</w:t>
            </w:r>
          </w:p>
          <w:p>
            <w:pPr>
              <w:ind w:firstLine="560"/>
              <w:jc w:val="both"/>
            </w:pPr>
            <w:r>
              <w:rPr>
                <w:rFonts w:hint="eastAsia"/>
              </w:rPr>
              <w:t>（2）油气回收系统</w:t>
            </w:r>
          </w:p>
          <w:p>
            <w:pPr>
              <w:ind w:firstLine="560"/>
              <w:jc w:val="both"/>
              <w:rPr>
                <w:u w:val="single"/>
              </w:rPr>
            </w:pPr>
            <w:r>
              <w:rPr>
                <w:u w:val="single"/>
              </w:rPr>
              <w:t>①卸油油气回收：汽油油罐车卸下一定数量的油品，就需吸入大致相等的气体补充到槽车内部，而加油</w:t>
            </w:r>
            <w:r>
              <w:rPr>
                <w:rFonts w:hint="eastAsia"/>
                <w:u w:val="single"/>
              </w:rPr>
              <w:t>点</w:t>
            </w:r>
            <w:r>
              <w:rPr>
                <w:u w:val="single"/>
              </w:rPr>
              <w:t>内的埋地油罐也因注入油品而向外排出相当数量的油气。本</w:t>
            </w:r>
            <w:r>
              <w:rPr>
                <w:rFonts w:hint="eastAsia"/>
                <w:u w:val="single"/>
              </w:rPr>
              <w:t>加</w:t>
            </w:r>
            <w:r>
              <w:rPr>
                <w:u w:val="single"/>
              </w:rPr>
              <w:t>油</w:t>
            </w:r>
            <w:r>
              <w:rPr>
                <w:rFonts w:hint="eastAsia"/>
                <w:u w:val="single"/>
              </w:rPr>
              <w:t>点</w:t>
            </w:r>
            <w:r>
              <w:rPr>
                <w:u w:val="single"/>
              </w:rPr>
              <w:t>通过安装一根气相管线，将油槽车与汽油储罐连通，卸车过程中，油槽车内部的汽油通过卸车管线进入储罐，储罐的油气经过气相管线回油罐车内，完成密闭式卸油过程。回收到油罐车内的油气，可由油罐车带回油库后，再经油库安装的油气回收设施回收处理。</w:t>
            </w:r>
          </w:p>
          <w:p>
            <w:pPr>
              <w:spacing w:line="240" w:lineRule="auto"/>
              <w:ind w:firstLine="0" w:firstLineChars="0"/>
              <w:jc w:val="center"/>
            </w:pPr>
            <w:r>
              <w:drawing>
                <wp:inline distT="0" distB="0" distL="114300" distR="114300">
                  <wp:extent cx="5142230" cy="2292985"/>
                  <wp:effectExtent l="0" t="0" r="889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5142230" cy="2292985"/>
                          </a:xfrm>
                          <a:prstGeom prst="rect">
                            <a:avLst/>
                          </a:prstGeom>
                          <a:noFill/>
                          <a:ln>
                            <a:noFill/>
                          </a:ln>
                        </pic:spPr>
                      </pic:pic>
                    </a:graphicData>
                  </a:graphic>
                </wp:inline>
              </w:drawing>
            </w:r>
          </w:p>
          <w:p>
            <w:pPr>
              <w:pStyle w:val="12"/>
              <w:spacing w:line="240" w:lineRule="auto"/>
              <w:ind w:firstLine="0" w:firstLineChars="0"/>
              <w:rPr>
                <w:rFonts w:hint="default"/>
                <w:b/>
                <w:bCs/>
                <w:sz w:val="21"/>
                <w:szCs w:val="21"/>
                <w:u w:val="single"/>
              </w:rPr>
            </w:pPr>
            <w:r>
              <w:rPr>
                <w:rFonts w:hint="default" w:ascii="Times New Roman" w:hAnsi="Times New Roman" w:eastAsia="仿宋"/>
                <w:b/>
                <w:bCs/>
                <w:sz w:val="21"/>
                <w:szCs w:val="21"/>
                <w:u w:val="single"/>
              </w:rPr>
              <w:t>图</w:t>
            </w:r>
            <w:r>
              <w:rPr>
                <w:rFonts w:ascii="Times New Roman" w:hAnsi="Times New Roman" w:eastAsia="仿宋"/>
                <w:b/>
                <w:bCs/>
                <w:sz w:val="21"/>
                <w:szCs w:val="21"/>
                <w:u w:val="single"/>
              </w:rPr>
              <w:t>4</w:t>
            </w:r>
            <w:r>
              <w:rPr>
                <w:rFonts w:hint="default" w:ascii="Times New Roman" w:hAnsi="Times New Roman" w:eastAsia="仿宋"/>
                <w:b/>
                <w:bCs/>
                <w:sz w:val="21"/>
                <w:szCs w:val="21"/>
                <w:u w:val="single"/>
              </w:rPr>
              <w:t>-1  一次油气回收系统基本原理图</w:t>
            </w:r>
          </w:p>
          <w:p>
            <w:pPr>
              <w:ind w:firstLine="560"/>
              <w:jc w:val="both"/>
              <w:rPr>
                <w:u w:val="single"/>
              </w:rPr>
            </w:pPr>
            <w:r>
              <w:rPr>
                <w:u w:val="single"/>
              </w:rPr>
              <w:t>②加油油气回收：汽车加油过程中，将原来油箱口逸散的油气，通过油气回收管线输送至储罐，实现加油</w:t>
            </w:r>
            <w:r>
              <w:rPr>
                <w:rFonts w:hint="eastAsia"/>
                <w:u w:val="single"/>
              </w:rPr>
              <w:t>与</w:t>
            </w:r>
            <w:r>
              <w:rPr>
                <w:u w:val="single"/>
              </w:rPr>
              <w:t>油气等体积置换。加油机油气回收工艺如下：</w:t>
            </w:r>
          </w:p>
          <w:p>
            <w:pPr>
              <w:spacing w:line="360" w:lineRule="auto"/>
              <w:ind w:firstLine="0" w:firstLineChars="0"/>
              <w:jc w:val="center"/>
              <w:rPr>
                <w:u w:val="single"/>
              </w:rPr>
            </w:pPr>
            <w:r>
              <w:rPr>
                <w:u w:val="single"/>
              </w:rPr>
              <w:drawing>
                <wp:inline distT="0" distB="0" distL="114300" distR="114300">
                  <wp:extent cx="5017135" cy="2358390"/>
                  <wp:effectExtent l="0" t="0" r="12065"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017135" cy="2358390"/>
                          </a:xfrm>
                          <a:prstGeom prst="rect">
                            <a:avLst/>
                          </a:prstGeom>
                          <a:noFill/>
                          <a:ln>
                            <a:noFill/>
                          </a:ln>
                        </pic:spPr>
                      </pic:pic>
                    </a:graphicData>
                  </a:graphic>
                </wp:inline>
              </w:drawing>
            </w:r>
          </w:p>
          <w:p>
            <w:pPr>
              <w:spacing w:line="240" w:lineRule="auto"/>
              <w:ind w:firstLine="422"/>
              <w:jc w:val="center"/>
              <w:rPr>
                <w:b/>
                <w:u w:val="single"/>
              </w:rPr>
            </w:pPr>
            <w:r>
              <w:rPr>
                <w:b/>
                <w:bCs/>
                <w:kern w:val="0"/>
                <w:sz w:val="21"/>
                <w:u w:val="single"/>
              </w:rPr>
              <w:t xml:space="preserve">图 </w:t>
            </w:r>
            <w:r>
              <w:rPr>
                <w:rFonts w:hint="eastAsia"/>
                <w:b/>
                <w:bCs/>
                <w:kern w:val="0"/>
                <w:sz w:val="21"/>
                <w:u w:val="single"/>
              </w:rPr>
              <w:t>4-2</w:t>
            </w:r>
            <w:r>
              <w:rPr>
                <w:b/>
                <w:bCs/>
                <w:kern w:val="0"/>
                <w:sz w:val="21"/>
                <w:u w:val="single"/>
              </w:rPr>
              <w:t xml:space="preserve"> 加油油气回收系统（二次油气回收）</w:t>
            </w:r>
          </w:p>
          <w:p>
            <w:pPr>
              <w:pStyle w:val="2"/>
              <w:ind w:firstLine="560"/>
              <w:jc w:val="both"/>
            </w:pPr>
            <w:r>
              <w:rPr>
                <w:u w:val="single"/>
              </w:rPr>
              <w:t>在加油</w:t>
            </w:r>
            <w:r>
              <w:rPr>
                <w:rFonts w:hint="eastAsia"/>
                <w:u w:val="single"/>
              </w:rPr>
              <w:t>点</w:t>
            </w:r>
            <w:r>
              <w:rPr>
                <w:u w:val="single"/>
              </w:rPr>
              <w:t>为汽车加油过程中，通过真空泵产生一定真空度，经过加油枪、油气回收管、真空泵等油气回收设备，按照气液比控制在1.0～1.2之间的要求，将加油过程中挥发的油气回收到油罐内。</w:t>
            </w:r>
          </w:p>
          <w:p>
            <w:pPr>
              <w:pStyle w:val="47"/>
              <w:spacing w:line="240" w:lineRule="auto"/>
              <w:ind w:firstLine="422"/>
              <w:rPr>
                <w:rFonts w:hint="default" w:eastAsia="仿宋"/>
              </w:rPr>
            </w:pPr>
            <w:r>
              <w:rPr>
                <w:rFonts w:hint="default" w:eastAsia="仿宋"/>
              </w:rPr>
              <w:t>表5-1  营运期污染物及产污节点统计表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137"/>
              <w:gridCol w:w="3725"/>
              <w:gridCol w:w="16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70"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污染类型</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污染物</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污染因子</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产污节点</w:t>
                  </w:r>
                </w:p>
                <w:p>
                  <w:pPr>
                    <w:tabs>
                      <w:tab w:val="left" w:pos="3225"/>
                    </w:tabs>
                    <w:spacing w:line="240" w:lineRule="auto"/>
                    <w:ind w:firstLine="0" w:firstLineChars="0"/>
                    <w:jc w:val="center"/>
                    <w:rPr>
                      <w:b/>
                      <w:bCs/>
                      <w:sz w:val="21"/>
                    </w:rPr>
                  </w:pPr>
                  <w:r>
                    <w:rPr>
                      <w:b/>
                      <w:bCs/>
                      <w:sz w:val="21"/>
                    </w:rPr>
                    <w:t>（污染工序）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70" w:type="pct"/>
                  <w:vMerge w:val="restar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废气</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卸油油气</w:t>
                  </w:r>
                </w:p>
                <w:p>
                  <w:pPr>
                    <w:tabs>
                      <w:tab w:val="left" w:pos="3225"/>
                    </w:tabs>
                    <w:spacing w:line="240" w:lineRule="auto"/>
                    <w:ind w:firstLine="0" w:firstLineChars="0"/>
                    <w:jc w:val="center"/>
                    <w:rPr>
                      <w:b/>
                      <w:bCs/>
                      <w:sz w:val="21"/>
                    </w:rPr>
                  </w:pPr>
                  <w:r>
                    <w:rPr>
                      <w:b/>
                      <w:bCs/>
                      <w:sz w:val="21"/>
                    </w:rPr>
                    <w:t>（油罐大呼吸）</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非甲烷总烃</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卸油过程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加油作业废气</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非甲烷总烃</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加油过程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油罐小呼吸</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非甲烷总烃</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小呼吸过程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7" w:type="pct"/>
                  <w:tcBorders>
                    <w:tl2br w:val="nil"/>
                    <w:tr2bl w:val="nil"/>
                  </w:tcBorders>
                  <w:shd w:val="clear" w:color="auto" w:fill="auto"/>
                  <w:vAlign w:val="center"/>
                </w:tcPr>
                <w:p>
                  <w:pPr>
                    <w:pStyle w:val="14"/>
                    <w:spacing w:line="240" w:lineRule="auto"/>
                    <w:ind w:firstLine="0" w:firstLineChars="0"/>
                    <w:rPr>
                      <w:b/>
                      <w:bCs/>
                      <w:sz w:val="21"/>
                    </w:rPr>
                  </w:pPr>
                  <w:r>
                    <w:rPr>
                      <w:rFonts w:hint="eastAsia"/>
                      <w:b/>
                      <w:bCs/>
                      <w:sz w:val="21"/>
                    </w:rPr>
                    <w:t>备用柴油发电机</w:t>
                  </w:r>
                  <w:r>
                    <w:rPr>
                      <w:b/>
                      <w:bCs/>
                      <w:sz w:val="21"/>
                    </w:rPr>
                    <w:t>废气</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SO</w:t>
                  </w:r>
                  <w:r>
                    <w:rPr>
                      <w:sz w:val="21"/>
                      <w:vertAlign w:val="subscript"/>
                    </w:rPr>
                    <w:t>2</w:t>
                  </w:r>
                  <w:r>
                    <w:rPr>
                      <w:sz w:val="21"/>
                    </w:rPr>
                    <w:t>、NOx</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供配电过程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食堂油烟</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油烟</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员工食堂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70" w:type="pct"/>
                  <w:vMerge w:val="restar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废水</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生活污水</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COD、BOD</w:t>
                  </w:r>
                  <w:r>
                    <w:rPr>
                      <w:sz w:val="21"/>
                      <w:vertAlign w:val="subscript"/>
                    </w:rPr>
                    <w:t>5</w:t>
                  </w:r>
                  <w:r>
                    <w:rPr>
                      <w:sz w:val="21"/>
                    </w:rPr>
                    <w:t>、NH</w:t>
                  </w:r>
                  <w:r>
                    <w:rPr>
                      <w:sz w:val="21"/>
                      <w:vertAlign w:val="subscript"/>
                    </w:rPr>
                    <w:t>3</w:t>
                  </w:r>
                  <w:r>
                    <w:rPr>
                      <w:sz w:val="21"/>
                    </w:rPr>
                    <w:t>-N、SS、动植物油</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员工生活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70" w:type="pct"/>
                  <w:vMerge w:val="continue"/>
                  <w:tcBorders>
                    <w:tl2br w:val="nil"/>
                    <w:tr2bl w:val="nil"/>
                  </w:tcBorders>
                  <w:shd w:val="clear" w:color="auto" w:fill="auto"/>
                  <w:vAlign w:val="center"/>
                </w:tcPr>
                <w:p>
                  <w:pPr>
                    <w:tabs>
                      <w:tab w:val="left" w:pos="3225"/>
                    </w:tabs>
                    <w:spacing w:line="240" w:lineRule="auto"/>
                    <w:ind w:firstLine="0" w:firstLineChars="0"/>
                    <w:jc w:val="center"/>
                    <w:rPr>
                      <w:b/>
                      <w:bCs/>
                      <w:sz w:val="21"/>
                    </w:rPr>
                  </w:pP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地面冲洗废水</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SS、石油类</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运营过程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噪声</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车辆、设备噪声</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噪声</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加油过程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70"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rFonts w:hint="eastAsia"/>
                      <w:b/>
                      <w:bCs/>
                      <w:sz w:val="21"/>
                    </w:rPr>
                    <w:t>固废</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rFonts w:hint="eastAsia"/>
                      <w:b/>
                      <w:bCs/>
                      <w:sz w:val="21"/>
                    </w:rPr>
                    <w:t>生活</w:t>
                  </w:r>
                  <w:r>
                    <w:rPr>
                      <w:b/>
                      <w:bCs/>
                      <w:sz w:val="21"/>
                    </w:rPr>
                    <w:t>垃圾</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有机质等</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员工办公生活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restar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危险废物</w:t>
                  </w: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隔油池</w:t>
                  </w:r>
                </w:p>
              </w:tc>
              <w:tc>
                <w:tcPr>
                  <w:tcW w:w="2156" w:type="pct"/>
                  <w:tcBorders>
                    <w:tl2br w:val="nil"/>
                    <w:tr2bl w:val="nil"/>
                  </w:tcBorders>
                  <w:shd w:val="clear" w:color="auto" w:fill="auto"/>
                  <w:vAlign w:val="center"/>
                </w:tcPr>
                <w:p>
                  <w:pPr>
                    <w:spacing w:line="240" w:lineRule="auto"/>
                    <w:ind w:firstLine="0" w:firstLineChars="0"/>
                    <w:jc w:val="center"/>
                    <w:rPr>
                      <w:sz w:val="21"/>
                    </w:rPr>
                  </w:pPr>
                  <w:r>
                    <w:rPr>
                      <w:sz w:val="21"/>
                    </w:rPr>
                    <w:t>油泥</w:t>
                  </w:r>
                </w:p>
              </w:tc>
              <w:tc>
                <w:tcPr>
                  <w:tcW w:w="936" w:type="pct"/>
                  <w:tcBorders>
                    <w:tl2br w:val="nil"/>
                    <w:tr2bl w:val="nil"/>
                  </w:tcBorders>
                  <w:shd w:val="clear" w:color="auto" w:fill="auto"/>
                  <w:vAlign w:val="center"/>
                </w:tcPr>
                <w:p>
                  <w:pPr>
                    <w:spacing w:line="240" w:lineRule="auto"/>
                    <w:ind w:firstLine="0" w:firstLineChars="0"/>
                    <w:jc w:val="center"/>
                    <w:rPr>
                      <w:sz w:val="21"/>
                    </w:rPr>
                  </w:pPr>
                  <w:r>
                    <w:rPr>
                      <w:sz w:val="21"/>
                    </w:rPr>
                    <w:t>营运过程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70" w:type="pct"/>
                  <w:vMerge w:val="continue"/>
                  <w:tcBorders>
                    <w:tl2br w:val="nil"/>
                    <w:tr2bl w:val="nil"/>
                  </w:tcBorders>
                  <w:shd w:val="clear" w:color="auto" w:fill="auto"/>
                  <w:vAlign w:val="center"/>
                </w:tcPr>
                <w:p>
                  <w:pPr>
                    <w:tabs>
                      <w:tab w:val="left" w:pos="3225"/>
                    </w:tabs>
                    <w:spacing w:line="240" w:lineRule="auto"/>
                    <w:ind w:firstLine="0" w:firstLineChars="0"/>
                    <w:jc w:val="center"/>
                    <w:rPr>
                      <w:b/>
                      <w:bCs/>
                      <w:sz w:val="21"/>
                    </w:rPr>
                  </w:pPr>
                </w:p>
              </w:tc>
              <w:tc>
                <w:tcPr>
                  <w:tcW w:w="1237" w:type="pct"/>
                  <w:tcBorders>
                    <w:tl2br w:val="nil"/>
                    <w:tr2bl w:val="nil"/>
                  </w:tcBorders>
                  <w:shd w:val="clear" w:color="auto" w:fill="auto"/>
                  <w:vAlign w:val="center"/>
                </w:tcPr>
                <w:p>
                  <w:pPr>
                    <w:tabs>
                      <w:tab w:val="left" w:pos="3225"/>
                    </w:tabs>
                    <w:spacing w:line="240" w:lineRule="auto"/>
                    <w:ind w:firstLine="0" w:firstLineChars="0"/>
                    <w:jc w:val="center"/>
                    <w:rPr>
                      <w:b/>
                      <w:bCs/>
                      <w:sz w:val="21"/>
                    </w:rPr>
                  </w:pPr>
                  <w:r>
                    <w:rPr>
                      <w:b/>
                      <w:bCs/>
                      <w:sz w:val="21"/>
                    </w:rPr>
                    <w:t>含油抹布、手套</w:t>
                  </w:r>
                </w:p>
              </w:tc>
              <w:tc>
                <w:tcPr>
                  <w:tcW w:w="215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含油抹布、手套</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加油卸油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0"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7"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油罐清洗废物</w:t>
                  </w:r>
                </w:p>
              </w:tc>
              <w:tc>
                <w:tcPr>
                  <w:tcW w:w="2156" w:type="pct"/>
                  <w:tcBorders>
                    <w:tl2br w:val="nil"/>
                    <w:tr2bl w:val="nil"/>
                  </w:tcBorders>
                  <w:shd w:val="clear" w:color="auto" w:fill="auto"/>
                  <w:vAlign w:val="center"/>
                </w:tcPr>
                <w:p>
                  <w:pPr>
                    <w:pStyle w:val="22"/>
                    <w:autoSpaceDE w:val="0"/>
                    <w:autoSpaceDN w:val="0"/>
                    <w:spacing w:line="240" w:lineRule="auto"/>
                    <w:ind w:firstLine="0" w:firstLineChars="0"/>
                    <w:jc w:val="center"/>
                    <w:rPr>
                      <w:sz w:val="21"/>
                    </w:rPr>
                  </w:pPr>
                  <w:r>
                    <w:rPr>
                      <w:sz w:val="21"/>
                    </w:rPr>
                    <w:t>沉渣、废液</w:t>
                  </w:r>
                </w:p>
              </w:tc>
              <w:tc>
                <w:tcPr>
                  <w:tcW w:w="936" w:type="pct"/>
                  <w:tcBorders>
                    <w:tl2br w:val="nil"/>
                    <w:tr2bl w:val="nil"/>
                  </w:tcBorders>
                  <w:shd w:val="clear" w:color="auto" w:fill="auto"/>
                  <w:vAlign w:val="center"/>
                </w:tcPr>
                <w:p>
                  <w:pPr>
                    <w:tabs>
                      <w:tab w:val="left" w:pos="3225"/>
                    </w:tabs>
                    <w:spacing w:line="240" w:lineRule="auto"/>
                    <w:ind w:firstLine="0" w:firstLineChars="0"/>
                    <w:jc w:val="center"/>
                    <w:rPr>
                      <w:sz w:val="21"/>
                    </w:rPr>
                  </w:pPr>
                  <w:r>
                    <w:rPr>
                      <w:sz w:val="21"/>
                    </w:rPr>
                    <w:t>油罐清洗过程</w:t>
                  </w:r>
                </w:p>
              </w:tc>
            </w:tr>
          </w:tbl>
          <w:p>
            <w:pPr>
              <w:spacing w:line="360" w:lineRule="auto"/>
              <w:ind w:firstLine="0" w:firstLineChars="0"/>
              <w:jc w:val="both"/>
              <w:rPr>
                <w:b/>
                <w:color w:val="000000"/>
                <w:szCs w:val="28"/>
              </w:rPr>
            </w:pPr>
            <w:r>
              <w:rPr>
                <w:b/>
                <w:color w:val="000000"/>
                <w:szCs w:val="28"/>
              </w:rPr>
              <w:t>1、废水</w:t>
            </w:r>
          </w:p>
          <w:p>
            <w:pPr>
              <w:ind w:firstLine="560"/>
              <w:jc w:val="both"/>
            </w:pPr>
            <w:r>
              <w:t>本项目营运期产生的废水为职工与司乘人员生活污水</w:t>
            </w:r>
            <w:r>
              <w:rPr>
                <w:rFonts w:hint="eastAsia"/>
              </w:rPr>
              <w:t>，</w:t>
            </w:r>
            <w:r>
              <w:rPr>
                <w:u w:val="single"/>
              </w:rPr>
              <w:t>该加油点不设置洗车服务，无洗车设施，无洗车废水产生。</w:t>
            </w:r>
            <w:r>
              <w:t>加油</w:t>
            </w:r>
            <w:r>
              <w:rPr>
                <w:rFonts w:hint="eastAsia"/>
              </w:rPr>
              <w:t>点厂</w:t>
            </w:r>
            <w:r>
              <w:t>区地面洒水清扫，每月冲洗一次，日常不产生废水。本项目废水的排水量为0.</w:t>
            </w:r>
            <w:r>
              <w:rPr>
                <w:rFonts w:hint="eastAsia"/>
              </w:rPr>
              <w:t>18</w:t>
            </w:r>
            <w:r>
              <w:t>m³/d，</w:t>
            </w:r>
            <w:r>
              <w:rPr>
                <w:rFonts w:hint="eastAsia"/>
              </w:rPr>
              <w:t>65.7</w:t>
            </w:r>
            <w:r>
              <w:t>m³/a。职工与司乘人员生活污水排到位于加油点西边的化粪池（3m</w:t>
            </w:r>
            <w:r>
              <w:rPr>
                <w:vertAlign w:val="superscript"/>
              </w:rPr>
              <w:t>3</w:t>
            </w:r>
            <w:r>
              <w:t>）处理，定期清掏。地面冲洗用水为每月冲洗一次废水进位于加油点东边的隔油池（1.5m</w:t>
            </w:r>
            <w:r>
              <w:rPr>
                <w:vertAlign w:val="superscript"/>
              </w:rPr>
              <w:t>3</w:t>
            </w:r>
            <w:r>
              <w:t>），每次用水为1m</w:t>
            </w:r>
            <w:r>
              <w:rPr>
                <w:vertAlign w:val="superscript"/>
              </w:rPr>
              <w:t>3</w:t>
            </w:r>
            <w:r>
              <w:t>，用水量为12m</w:t>
            </w:r>
            <w:r>
              <w:rPr>
                <w:vertAlign w:val="superscript"/>
              </w:rPr>
              <w:t>3</w:t>
            </w:r>
            <w:r>
              <w:t>/a。污水产生量按90%计算，总产生量约10.8 m</w:t>
            </w:r>
            <w:r>
              <w:rPr>
                <w:vertAlign w:val="superscript"/>
              </w:rPr>
              <w:t>3</w:t>
            </w:r>
            <w:r>
              <w:t>/a。污水中含有一定的石油类和SS。通过类比同类加油站生活废水、地面冲洗废水，主要污染物及浓度见表5-2~3。</w:t>
            </w:r>
          </w:p>
          <w:p>
            <w:pPr>
              <w:pStyle w:val="47"/>
              <w:spacing w:line="240" w:lineRule="auto"/>
              <w:ind w:firstLine="422"/>
              <w:rPr>
                <w:rFonts w:hint="default" w:eastAsia="仿宋"/>
              </w:rPr>
            </w:pPr>
            <w:r>
              <w:rPr>
                <w:rFonts w:hint="default" w:eastAsia="仿宋"/>
              </w:rPr>
              <w:t>表5-2  项目生活</w:t>
            </w:r>
            <w:r>
              <w:rPr>
                <w:rFonts w:eastAsia="仿宋"/>
              </w:rPr>
              <w:t>污水</w:t>
            </w:r>
            <w:r>
              <w:rPr>
                <w:rFonts w:hint="default" w:eastAsia="仿宋"/>
              </w:rPr>
              <w:t>产生量及污染物产排情况表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1281"/>
              <w:gridCol w:w="1238"/>
              <w:gridCol w:w="1289"/>
              <w:gridCol w:w="1457"/>
              <w:gridCol w:w="13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污染因子</w:t>
                  </w:r>
                </w:p>
              </w:tc>
              <w:tc>
                <w:tcPr>
                  <w:tcW w:w="716"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COD</w:t>
                  </w:r>
                </w:p>
              </w:tc>
              <w:tc>
                <w:tcPr>
                  <w:tcW w:w="746"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BOD</w:t>
                  </w:r>
                  <w:r>
                    <w:rPr>
                      <w:b/>
                      <w:bCs/>
                      <w:sz w:val="21"/>
                      <w:vertAlign w:val="subscript"/>
                    </w:rPr>
                    <w:t>5</w:t>
                  </w:r>
                </w:p>
              </w:tc>
              <w:tc>
                <w:tcPr>
                  <w:tcW w:w="843"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NH</w:t>
                  </w:r>
                  <w:r>
                    <w:rPr>
                      <w:b/>
                      <w:bCs/>
                      <w:sz w:val="21"/>
                      <w:vertAlign w:val="subscript"/>
                    </w:rPr>
                    <w:t>3</w:t>
                  </w:r>
                  <w:r>
                    <w:rPr>
                      <w:b/>
                      <w:bCs/>
                      <w:sz w:val="21"/>
                    </w:rPr>
                    <w:t>-N</w:t>
                  </w:r>
                </w:p>
              </w:tc>
              <w:tc>
                <w:tcPr>
                  <w:tcW w:w="778"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73"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化粪池（</w:t>
                  </w:r>
                  <w:r>
                    <w:rPr>
                      <w:rFonts w:hint="eastAsia"/>
                      <w:b/>
                      <w:bCs/>
                      <w:sz w:val="21"/>
                    </w:rPr>
                    <w:t>65.7</w:t>
                  </w:r>
                  <w:r>
                    <w:rPr>
                      <w:b/>
                      <w:bCs/>
                      <w:sz w:val="21"/>
                    </w:rPr>
                    <w:t>m³/a）</w:t>
                  </w:r>
                </w:p>
              </w:tc>
              <w:tc>
                <w:tcPr>
                  <w:tcW w:w="741" w:type="pct"/>
                  <w:tcBorders>
                    <w:tl2br w:val="nil"/>
                    <w:tr2bl w:val="nil"/>
                  </w:tcBorders>
                  <w:shd w:val="clear" w:color="auto" w:fill="auto"/>
                  <w:vAlign w:val="center"/>
                </w:tcPr>
                <w:p>
                  <w:pPr>
                    <w:snapToGrid w:val="0"/>
                    <w:spacing w:line="240" w:lineRule="auto"/>
                    <w:ind w:firstLine="0" w:firstLineChars="0"/>
                    <w:jc w:val="center"/>
                    <w:rPr>
                      <w:b/>
                      <w:bCs/>
                      <w:sz w:val="21"/>
                    </w:rPr>
                  </w:pPr>
                  <w:r>
                    <w:rPr>
                      <w:rFonts w:hint="eastAsia"/>
                      <w:b/>
                      <w:bCs/>
                      <w:sz w:val="21"/>
                    </w:rPr>
                    <w:t>产生</w:t>
                  </w:r>
                  <w:r>
                    <w:rPr>
                      <w:b/>
                      <w:bCs/>
                      <w:sz w:val="21"/>
                    </w:rPr>
                    <w:t>浓度（mg/L）</w:t>
                  </w:r>
                </w:p>
              </w:tc>
              <w:tc>
                <w:tcPr>
                  <w:tcW w:w="716"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320</w:t>
                  </w:r>
                </w:p>
              </w:tc>
              <w:tc>
                <w:tcPr>
                  <w:tcW w:w="746"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180</w:t>
                  </w:r>
                </w:p>
              </w:tc>
              <w:tc>
                <w:tcPr>
                  <w:tcW w:w="843"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30</w:t>
                  </w:r>
                </w:p>
              </w:tc>
              <w:tc>
                <w:tcPr>
                  <w:tcW w:w="778"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73" w:type="pct"/>
                  <w:vMerge w:val="continue"/>
                  <w:tcBorders>
                    <w:tl2br w:val="nil"/>
                    <w:tr2bl w:val="nil"/>
                  </w:tcBorders>
                  <w:shd w:val="clear" w:color="auto" w:fill="auto"/>
                  <w:vAlign w:val="center"/>
                </w:tcPr>
                <w:p>
                  <w:pPr>
                    <w:spacing w:line="240" w:lineRule="auto"/>
                    <w:ind w:firstLine="0" w:firstLineChars="0"/>
                    <w:rPr>
                      <w:b/>
                      <w:bCs/>
                      <w:sz w:val="21"/>
                    </w:rPr>
                  </w:pPr>
                </w:p>
              </w:tc>
              <w:tc>
                <w:tcPr>
                  <w:tcW w:w="741" w:type="pct"/>
                  <w:tcBorders>
                    <w:tl2br w:val="nil"/>
                    <w:tr2bl w:val="nil"/>
                  </w:tcBorders>
                  <w:shd w:val="clear" w:color="auto" w:fill="auto"/>
                  <w:vAlign w:val="center"/>
                </w:tcPr>
                <w:p>
                  <w:pPr>
                    <w:snapToGrid w:val="0"/>
                    <w:spacing w:line="240" w:lineRule="auto"/>
                    <w:ind w:firstLine="0" w:firstLineChars="0"/>
                    <w:jc w:val="center"/>
                    <w:rPr>
                      <w:b/>
                      <w:bCs/>
                      <w:sz w:val="21"/>
                    </w:rPr>
                  </w:pPr>
                  <w:r>
                    <w:rPr>
                      <w:rFonts w:hint="eastAsia"/>
                      <w:b/>
                      <w:bCs/>
                      <w:sz w:val="21"/>
                    </w:rPr>
                    <w:t>产生</w:t>
                  </w:r>
                  <w:r>
                    <w:rPr>
                      <w:b/>
                      <w:bCs/>
                      <w:sz w:val="21"/>
                    </w:rPr>
                    <w:t>量（t/a）</w:t>
                  </w:r>
                </w:p>
              </w:tc>
              <w:tc>
                <w:tcPr>
                  <w:tcW w:w="716"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w:t>
                  </w:r>
                  <w:r>
                    <w:rPr>
                      <w:rFonts w:hint="eastAsia"/>
                      <w:sz w:val="21"/>
                    </w:rPr>
                    <w:t>2</w:t>
                  </w:r>
                  <w:r>
                    <w:rPr>
                      <w:sz w:val="21"/>
                    </w:rPr>
                    <w:t>1</w:t>
                  </w:r>
                </w:p>
              </w:tc>
              <w:tc>
                <w:tcPr>
                  <w:tcW w:w="746"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w:t>
                  </w:r>
                  <w:r>
                    <w:rPr>
                      <w:rFonts w:hint="eastAsia"/>
                      <w:sz w:val="21"/>
                    </w:rPr>
                    <w:t>11</w:t>
                  </w:r>
                </w:p>
              </w:tc>
              <w:tc>
                <w:tcPr>
                  <w:tcW w:w="843"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w:t>
                  </w:r>
                  <w:r>
                    <w:rPr>
                      <w:rFonts w:hint="eastAsia"/>
                      <w:sz w:val="21"/>
                    </w:rPr>
                    <w:t>19</w:t>
                  </w:r>
                </w:p>
              </w:tc>
              <w:tc>
                <w:tcPr>
                  <w:tcW w:w="778"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w:t>
                  </w:r>
                  <w:r>
                    <w:rPr>
                      <w:rFonts w:hint="eastAsia"/>
                      <w:sz w:val="21"/>
                    </w:rPr>
                    <w:t>13</w:t>
                  </w:r>
                </w:p>
              </w:tc>
            </w:tr>
          </w:tbl>
          <w:p>
            <w:pPr>
              <w:pStyle w:val="47"/>
              <w:spacing w:line="240" w:lineRule="auto"/>
              <w:ind w:firstLine="422"/>
              <w:rPr>
                <w:rFonts w:hint="default" w:eastAsia="仿宋"/>
              </w:rPr>
            </w:pPr>
            <w:r>
              <w:rPr>
                <w:rFonts w:hint="default" w:eastAsia="仿宋"/>
              </w:rPr>
              <w:t>表5-3 项目地面清洗</w:t>
            </w:r>
            <w:r>
              <w:rPr>
                <w:rFonts w:eastAsia="仿宋"/>
              </w:rPr>
              <w:t>污</w:t>
            </w:r>
            <w:r>
              <w:rPr>
                <w:rFonts w:hint="default" w:eastAsia="仿宋"/>
              </w:rPr>
              <w:t>水产生量及污染物产排情况表</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315"/>
              <w:gridCol w:w="1277"/>
              <w:gridCol w:w="1331"/>
              <w:gridCol w:w="1249"/>
              <w:gridCol w:w="13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6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污染因子</w:t>
                  </w:r>
                </w:p>
              </w:tc>
              <w:tc>
                <w:tcPr>
                  <w:tcW w:w="739"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COD</w:t>
                  </w:r>
                </w:p>
              </w:tc>
              <w:tc>
                <w:tcPr>
                  <w:tcW w:w="770"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BOD</w:t>
                  </w:r>
                  <w:r>
                    <w:rPr>
                      <w:b/>
                      <w:bCs/>
                      <w:sz w:val="21"/>
                      <w:vertAlign w:val="subscript"/>
                    </w:rPr>
                    <w:t>5</w:t>
                  </w:r>
                </w:p>
              </w:tc>
              <w:tc>
                <w:tcPr>
                  <w:tcW w:w="723"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SS</w:t>
                  </w:r>
                </w:p>
              </w:tc>
              <w:tc>
                <w:tcPr>
                  <w:tcW w:w="802"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石油类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3"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隔油池</w:t>
                  </w:r>
                </w:p>
                <w:p>
                  <w:pPr>
                    <w:snapToGrid w:val="0"/>
                    <w:spacing w:line="240" w:lineRule="auto"/>
                    <w:ind w:firstLine="0" w:firstLineChars="0"/>
                    <w:jc w:val="center"/>
                    <w:rPr>
                      <w:b/>
                      <w:bCs/>
                      <w:sz w:val="21"/>
                    </w:rPr>
                  </w:pPr>
                  <w:r>
                    <w:rPr>
                      <w:b/>
                      <w:bCs/>
                      <w:sz w:val="21"/>
                    </w:rPr>
                    <w:t>（10.8m³/a）</w:t>
                  </w:r>
                </w:p>
              </w:tc>
              <w:tc>
                <w:tcPr>
                  <w:tcW w:w="760" w:type="pct"/>
                  <w:tcBorders>
                    <w:tl2br w:val="nil"/>
                    <w:tr2bl w:val="nil"/>
                  </w:tcBorders>
                  <w:shd w:val="clear" w:color="auto" w:fill="auto"/>
                  <w:vAlign w:val="center"/>
                </w:tcPr>
                <w:p>
                  <w:pPr>
                    <w:snapToGrid w:val="0"/>
                    <w:spacing w:line="240" w:lineRule="auto"/>
                    <w:ind w:firstLine="0" w:firstLineChars="0"/>
                    <w:jc w:val="center"/>
                    <w:rPr>
                      <w:b/>
                      <w:bCs/>
                      <w:sz w:val="21"/>
                    </w:rPr>
                  </w:pPr>
                  <w:r>
                    <w:rPr>
                      <w:rFonts w:hint="eastAsia"/>
                      <w:b/>
                      <w:bCs/>
                      <w:sz w:val="21"/>
                    </w:rPr>
                    <w:t>产生</w:t>
                  </w:r>
                  <w:r>
                    <w:rPr>
                      <w:b/>
                      <w:bCs/>
                      <w:sz w:val="21"/>
                    </w:rPr>
                    <w:t>浓度（mg/L）</w:t>
                  </w:r>
                </w:p>
              </w:tc>
              <w:tc>
                <w:tcPr>
                  <w:tcW w:w="739"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50</w:t>
                  </w:r>
                </w:p>
              </w:tc>
              <w:tc>
                <w:tcPr>
                  <w:tcW w:w="770"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25</w:t>
                  </w:r>
                </w:p>
              </w:tc>
              <w:tc>
                <w:tcPr>
                  <w:tcW w:w="723"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40</w:t>
                  </w:r>
                </w:p>
              </w:tc>
              <w:tc>
                <w:tcPr>
                  <w:tcW w:w="802"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03" w:type="pct"/>
                  <w:vMerge w:val="continue"/>
                  <w:tcBorders>
                    <w:tl2br w:val="nil"/>
                    <w:tr2bl w:val="nil"/>
                  </w:tcBorders>
                  <w:shd w:val="clear" w:color="auto" w:fill="auto"/>
                  <w:vAlign w:val="center"/>
                </w:tcPr>
                <w:p>
                  <w:pPr>
                    <w:spacing w:line="240" w:lineRule="auto"/>
                    <w:ind w:firstLine="0" w:firstLineChars="0"/>
                    <w:rPr>
                      <w:b/>
                      <w:bCs/>
                      <w:sz w:val="21"/>
                    </w:rPr>
                  </w:pPr>
                </w:p>
              </w:tc>
              <w:tc>
                <w:tcPr>
                  <w:tcW w:w="760" w:type="pct"/>
                  <w:tcBorders>
                    <w:tl2br w:val="nil"/>
                    <w:tr2bl w:val="nil"/>
                  </w:tcBorders>
                  <w:shd w:val="clear" w:color="auto" w:fill="auto"/>
                  <w:vAlign w:val="center"/>
                </w:tcPr>
                <w:p>
                  <w:pPr>
                    <w:snapToGrid w:val="0"/>
                    <w:spacing w:line="240" w:lineRule="auto"/>
                    <w:ind w:firstLine="0" w:firstLineChars="0"/>
                    <w:jc w:val="center"/>
                    <w:rPr>
                      <w:b/>
                      <w:bCs/>
                      <w:sz w:val="21"/>
                    </w:rPr>
                  </w:pPr>
                  <w:r>
                    <w:rPr>
                      <w:rFonts w:hint="eastAsia"/>
                      <w:b/>
                      <w:bCs/>
                      <w:sz w:val="21"/>
                    </w:rPr>
                    <w:t>产生</w:t>
                  </w:r>
                  <w:r>
                    <w:rPr>
                      <w:b/>
                      <w:bCs/>
                      <w:sz w:val="21"/>
                    </w:rPr>
                    <w:t>量（t/a）</w:t>
                  </w:r>
                </w:p>
              </w:tc>
              <w:tc>
                <w:tcPr>
                  <w:tcW w:w="739"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w:t>
                  </w:r>
                  <w:r>
                    <w:rPr>
                      <w:rFonts w:hint="eastAsia"/>
                      <w:sz w:val="21"/>
                    </w:rPr>
                    <w:t>054</w:t>
                  </w:r>
                </w:p>
              </w:tc>
              <w:tc>
                <w:tcPr>
                  <w:tcW w:w="770"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w:t>
                  </w:r>
                  <w:r>
                    <w:rPr>
                      <w:rFonts w:hint="eastAsia"/>
                      <w:sz w:val="21"/>
                    </w:rPr>
                    <w:t>027</w:t>
                  </w:r>
                </w:p>
              </w:tc>
              <w:tc>
                <w:tcPr>
                  <w:tcW w:w="723"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w:t>
                  </w:r>
                  <w:r>
                    <w:rPr>
                      <w:rFonts w:hint="eastAsia"/>
                      <w:sz w:val="21"/>
                    </w:rPr>
                    <w:t>0432</w:t>
                  </w:r>
                </w:p>
              </w:tc>
              <w:tc>
                <w:tcPr>
                  <w:tcW w:w="802"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0.00032</w:t>
                  </w:r>
                </w:p>
              </w:tc>
            </w:tr>
          </w:tbl>
          <w:p>
            <w:pPr>
              <w:spacing w:line="360" w:lineRule="auto"/>
              <w:ind w:firstLine="0" w:firstLineChars="0"/>
              <w:jc w:val="both"/>
              <w:rPr>
                <w:b/>
                <w:color w:val="000000"/>
                <w:szCs w:val="28"/>
              </w:rPr>
            </w:pPr>
            <w:r>
              <w:rPr>
                <w:b/>
                <w:color w:val="000000"/>
                <w:szCs w:val="28"/>
              </w:rPr>
              <w:t>2、废气</w:t>
            </w:r>
          </w:p>
          <w:p>
            <w:pPr>
              <w:ind w:firstLine="560"/>
              <w:jc w:val="both"/>
            </w:pPr>
            <w:r>
              <w:t>本项目营运期产生的废气主要为：</w:t>
            </w:r>
          </w:p>
          <w:p>
            <w:pPr>
              <w:ind w:firstLine="560"/>
              <w:jc w:val="both"/>
            </w:pPr>
            <w:r>
              <w:t>油罐储存时大、小呼吸阀挥发排空，油罐车卸油及车辆加油过程中挥发的非甲烷总烃类，</w:t>
            </w:r>
            <w:r>
              <w:rPr>
                <w:rFonts w:hint="eastAsia"/>
                <w:u w:val="single"/>
              </w:rPr>
              <w:t>据建设单位介绍，本加油点2016年安装了油气回收装置，回收效率是99%。</w:t>
            </w:r>
            <w:r>
              <w:t>此外还有加油车辆产生的汽车尾气及引起的道路扬尘，另有少量备用柴油发电机废气</w:t>
            </w:r>
            <w:r>
              <w:rPr>
                <w:rFonts w:hint="eastAsia"/>
              </w:rPr>
              <w:t>，</w:t>
            </w:r>
            <w:r>
              <w:rPr>
                <w:rFonts w:hint="eastAsia"/>
                <w:u w:val="single"/>
              </w:rPr>
              <w:t>均为无组织排放</w:t>
            </w:r>
            <w:r>
              <w:t>。项目厨房规模很小，其油烟产排情况与普通居民住宅一样。</w:t>
            </w:r>
          </w:p>
          <w:p>
            <w:pPr>
              <w:ind w:firstLine="560"/>
              <w:jc w:val="both"/>
            </w:pPr>
            <w:r>
              <w:t>（1）卸油油气（油罐大呼吸）</w:t>
            </w:r>
          </w:p>
          <w:p>
            <w:pPr>
              <w:ind w:firstLine="560"/>
              <w:jc w:val="both"/>
            </w:pPr>
            <w:r>
              <w:t>储油罐大呼吸损失是指油罐进发油时所呼出的油蒸汽而造成的油品蒸发损失。油罐进油时，由于油面逐渐升高，气体空间逐渐减小，罐内压力增大，当压力超过呼吸阀控制压力时，一定浓度的油蒸汽开始从呼吸阀呼出，直到油罐停止收油。根据《环境影响评价系列丛书 社会区域类环境影响评价》中关于加油站的污染源分析及同类工程调查，储油罐大呼吸烃类有机物平均排放率为0.88kg/m³通过量。</w:t>
            </w:r>
          </w:p>
          <w:p>
            <w:pPr>
              <w:ind w:firstLine="560"/>
              <w:jc w:val="both"/>
            </w:pPr>
            <w:r>
              <w:t>油罐小呼吸损失是指在没有收发油的情况下，随着外界气温、压力在一天内的升降周期变化，罐内气体空间温度、油品蒸发速度、油气浓度和蒸汽压力也随之变化，此时油罐会排出油气和吸入空气，从而造成油气损失。参考有关资料可知，储油罐小呼吸造成的烃类气体平均排放率约0.12kg/m³通过量。</w:t>
            </w:r>
          </w:p>
          <w:p>
            <w:pPr>
              <w:ind w:firstLine="560"/>
              <w:jc w:val="both"/>
            </w:pPr>
            <w:r>
              <w:t>加油作业损失主要指为车辆加油时，油品进入汽车油箱，油箱内的烃类气体被油品置换排入大气。参考有关资料可知，车辆加油时造成的烃类气体排放速率约0.11kg/m³通过量。</w:t>
            </w:r>
          </w:p>
          <w:p>
            <w:pPr>
              <w:ind w:firstLine="560"/>
              <w:jc w:val="both"/>
            </w:pPr>
            <w:r>
              <w:t>在加油机作业过程中，不可避免地有一些成品油跑、冒、滴、漏现象的发生。跑冒滴漏量与加油</w:t>
            </w:r>
            <w:r>
              <w:rPr>
                <w:rFonts w:hint="eastAsia"/>
              </w:rPr>
              <w:t>点</w:t>
            </w:r>
            <w:r>
              <w:t>的管理、加油工人的操作水平等诸多因素有关。参考有关资料可知，成品油的跑、冒、滴、漏烃类气体平均损失量约0.036kg/m</w:t>
            </w:r>
            <w:r>
              <w:rPr>
                <w:vertAlign w:val="superscript"/>
              </w:rPr>
              <w:t>3</w:t>
            </w:r>
            <w:r>
              <w:t xml:space="preserve"> 通过量。</w:t>
            </w:r>
          </w:p>
          <w:p>
            <w:pPr>
              <w:ind w:firstLine="560"/>
              <w:jc w:val="both"/>
            </w:pPr>
            <w:r>
              <w:t>经查阅相关资料，柴油相对密度（水=1）0.87～0.9，本项目取0.9，油料的灌装系数取0.9，项目营运后油品年通过量或转过量</w:t>
            </w:r>
            <w:r>
              <w:rPr>
                <w:rFonts w:hint="eastAsia"/>
              </w:rPr>
              <w:t>为</w:t>
            </w:r>
            <w:r>
              <w:t>222m</w:t>
            </w:r>
            <w:r>
              <w:rPr>
                <w:vertAlign w:val="superscript"/>
              </w:rPr>
              <w:t>3</w:t>
            </w:r>
            <w:r>
              <w:t>/a。</w:t>
            </w:r>
          </w:p>
          <w:p>
            <w:pPr>
              <w:ind w:firstLine="560"/>
              <w:jc w:val="both"/>
            </w:pPr>
            <w:r>
              <w:rPr>
                <w:u w:val="single"/>
              </w:rPr>
              <w:t>项目</w:t>
            </w:r>
            <w:r>
              <w:rPr>
                <w:rFonts w:hint="eastAsia"/>
                <w:u w:val="single"/>
              </w:rPr>
              <w:t>已</w:t>
            </w:r>
            <w:r>
              <w:rPr>
                <w:u w:val="single"/>
              </w:rPr>
              <w:t>安装</w:t>
            </w:r>
            <w:r>
              <w:rPr>
                <w:rFonts w:hint="eastAsia"/>
                <w:u w:val="single"/>
              </w:rPr>
              <w:t>一次、</w:t>
            </w:r>
            <w:r>
              <w:rPr>
                <w:u w:val="single"/>
              </w:rPr>
              <w:t>二次油气回收装置</w:t>
            </w:r>
            <w:r>
              <w:t>，用于回收柴油储罐收发过程中挥发的VOCs。一般油气回收系统对油品大呼吸的回收效率在99%以上，本项目取99%。</w:t>
            </w:r>
          </w:p>
          <w:p>
            <w:pPr>
              <w:ind w:firstLine="560"/>
              <w:jc w:val="both"/>
            </w:pPr>
            <w:r>
              <w:t>则可以计算出本项目烃类气体（主要为甲烷总烃）产生量，如表5-4所示</w:t>
            </w:r>
          </w:p>
          <w:p>
            <w:pPr>
              <w:pStyle w:val="47"/>
              <w:spacing w:line="240" w:lineRule="auto"/>
              <w:ind w:firstLine="422"/>
              <w:rPr>
                <w:rFonts w:hint="default" w:eastAsia="仿宋"/>
              </w:rPr>
            </w:pPr>
            <w:r>
              <w:rPr>
                <w:rFonts w:hint="default" w:eastAsia="仿宋"/>
              </w:rPr>
              <w:t xml:space="preserve">表5-4 </w:t>
            </w:r>
            <w:r>
              <w:rPr>
                <w:rFonts w:eastAsia="仿宋"/>
              </w:rPr>
              <w:t xml:space="preserve"> </w:t>
            </w:r>
            <w:r>
              <w:rPr>
                <w:rFonts w:hint="default" w:eastAsia="仿宋"/>
              </w:rPr>
              <w:t>非甲烷总烃产生量一览表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125"/>
              <w:gridCol w:w="1433"/>
              <w:gridCol w:w="2105"/>
              <w:gridCol w:w="1047"/>
              <w:gridCol w:w="10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pct"/>
                  <w:gridSpan w:val="2"/>
                  <w:tcBorders>
                    <w:tl2br w:val="nil"/>
                    <w:tr2bl w:val="nil"/>
                  </w:tcBorders>
                  <w:shd w:val="clear" w:color="auto" w:fill="auto"/>
                  <w:vAlign w:val="center"/>
                </w:tcPr>
                <w:p>
                  <w:pPr>
                    <w:spacing w:line="240" w:lineRule="auto"/>
                    <w:ind w:firstLine="0" w:firstLineChars="0"/>
                    <w:jc w:val="center"/>
                    <w:rPr>
                      <w:b/>
                      <w:bCs/>
                      <w:sz w:val="21"/>
                    </w:rPr>
                  </w:pPr>
                  <w:r>
                    <w:rPr>
                      <w:b/>
                      <w:bCs/>
                      <w:sz w:val="21"/>
                    </w:rPr>
                    <w:t>项目</w:t>
                  </w:r>
                </w:p>
              </w:tc>
              <w:tc>
                <w:tcPr>
                  <w:tcW w:w="829" w:type="pct"/>
                  <w:tcBorders>
                    <w:tl2br w:val="nil"/>
                    <w:tr2bl w:val="nil"/>
                  </w:tcBorders>
                  <w:shd w:val="clear" w:color="auto" w:fill="auto"/>
                  <w:vAlign w:val="center"/>
                </w:tcPr>
                <w:p>
                  <w:pPr>
                    <w:spacing w:line="240" w:lineRule="auto"/>
                    <w:ind w:firstLine="0" w:firstLineChars="0"/>
                    <w:jc w:val="both"/>
                    <w:rPr>
                      <w:b/>
                      <w:bCs/>
                      <w:sz w:val="21"/>
                    </w:rPr>
                  </w:pPr>
                  <w:r>
                    <w:rPr>
                      <w:b/>
                      <w:bCs/>
                      <w:sz w:val="21"/>
                    </w:rPr>
                    <w:t>排放系数（kg/m</w:t>
                  </w:r>
                  <w:r>
                    <w:rPr>
                      <w:b/>
                      <w:bCs/>
                      <w:sz w:val="21"/>
                      <w:vertAlign w:val="superscript"/>
                    </w:rPr>
                    <w:t>3</w:t>
                  </w:r>
                  <w:r>
                    <w:rPr>
                      <w:b/>
                      <w:bCs/>
                      <w:sz w:val="21"/>
                    </w:rPr>
                    <w:t>）</w:t>
                  </w:r>
                </w:p>
              </w:tc>
              <w:tc>
                <w:tcPr>
                  <w:tcW w:w="1218"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通过量或转过量（m</w:t>
                  </w:r>
                  <w:r>
                    <w:rPr>
                      <w:b/>
                      <w:bCs/>
                      <w:sz w:val="21"/>
                      <w:vertAlign w:val="superscript"/>
                    </w:rPr>
                    <w:t>3</w:t>
                  </w:r>
                  <w:r>
                    <w:rPr>
                      <w:b/>
                      <w:bCs/>
                      <w:sz w:val="21"/>
                    </w:rPr>
                    <w:t>/a)</w:t>
                  </w:r>
                </w:p>
              </w:tc>
              <w:tc>
                <w:tcPr>
                  <w:tcW w:w="606"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烃排放量</w:t>
                  </w:r>
                </w:p>
                <w:p>
                  <w:pPr>
                    <w:spacing w:line="240" w:lineRule="auto"/>
                    <w:ind w:firstLine="0" w:firstLineChars="0"/>
                    <w:jc w:val="center"/>
                    <w:rPr>
                      <w:b/>
                      <w:bCs/>
                      <w:sz w:val="21"/>
                    </w:rPr>
                  </w:pPr>
                  <w:r>
                    <w:rPr>
                      <w:b/>
                      <w:bCs/>
                      <w:sz w:val="21"/>
                    </w:rPr>
                    <w:t>（kg/a)</w:t>
                  </w:r>
                </w:p>
              </w:tc>
              <w:tc>
                <w:tcPr>
                  <w:tcW w:w="606"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油气回收排放量（kg/a)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9"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储油区</w:t>
                  </w:r>
                </w:p>
              </w:tc>
              <w:tc>
                <w:tcPr>
                  <w:tcW w:w="1230"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大呼吸损失</w:t>
                  </w:r>
                </w:p>
              </w:tc>
              <w:tc>
                <w:tcPr>
                  <w:tcW w:w="829" w:type="pct"/>
                  <w:tcBorders>
                    <w:tl2br w:val="nil"/>
                    <w:tr2bl w:val="nil"/>
                  </w:tcBorders>
                  <w:shd w:val="clear" w:color="auto" w:fill="auto"/>
                  <w:vAlign w:val="center"/>
                </w:tcPr>
                <w:p>
                  <w:pPr>
                    <w:spacing w:line="240" w:lineRule="auto"/>
                    <w:ind w:firstLine="0" w:firstLineChars="0"/>
                    <w:jc w:val="center"/>
                    <w:rPr>
                      <w:sz w:val="21"/>
                    </w:rPr>
                  </w:pPr>
                  <w:r>
                    <w:rPr>
                      <w:sz w:val="21"/>
                    </w:rPr>
                    <w:t>0.88</w:t>
                  </w:r>
                </w:p>
              </w:tc>
              <w:tc>
                <w:tcPr>
                  <w:tcW w:w="1218" w:type="pct"/>
                  <w:tcBorders>
                    <w:tl2br w:val="nil"/>
                    <w:tr2bl w:val="nil"/>
                  </w:tcBorders>
                  <w:shd w:val="clear" w:color="auto" w:fill="auto"/>
                  <w:vAlign w:val="center"/>
                </w:tcPr>
                <w:p>
                  <w:pPr>
                    <w:spacing w:line="240" w:lineRule="auto"/>
                    <w:ind w:firstLine="0" w:firstLineChars="0"/>
                    <w:jc w:val="center"/>
                    <w:rPr>
                      <w:sz w:val="21"/>
                    </w:rPr>
                  </w:pPr>
                  <w:r>
                    <w:rPr>
                      <w:sz w:val="21"/>
                    </w:rPr>
                    <w:t>222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195.36</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1.9536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9"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0"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小呼吸损失</w:t>
                  </w:r>
                </w:p>
              </w:tc>
              <w:tc>
                <w:tcPr>
                  <w:tcW w:w="829" w:type="pct"/>
                  <w:tcBorders>
                    <w:tl2br w:val="nil"/>
                    <w:tr2bl w:val="nil"/>
                  </w:tcBorders>
                  <w:shd w:val="clear" w:color="auto" w:fill="auto"/>
                  <w:vAlign w:val="center"/>
                </w:tcPr>
                <w:p>
                  <w:pPr>
                    <w:spacing w:line="240" w:lineRule="auto"/>
                    <w:ind w:firstLine="0" w:firstLineChars="0"/>
                    <w:jc w:val="center"/>
                    <w:rPr>
                      <w:sz w:val="21"/>
                    </w:rPr>
                  </w:pPr>
                  <w:r>
                    <w:rPr>
                      <w:sz w:val="21"/>
                    </w:rPr>
                    <w:t>0.12</w:t>
                  </w:r>
                </w:p>
              </w:tc>
              <w:tc>
                <w:tcPr>
                  <w:tcW w:w="1218" w:type="pct"/>
                  <w:tcBorders>
                    <w:tl2br w:val="nil"/>
                    <w:tr2bl w:val="nil"/>
                  </w:tcBorders>
                  <w:shd w:val="clear" w:color="auto" w:fill="auto"/>
                  <w:vAlign w:val="center"/>
                </w:tcPr>
                <w:p>
                  <w:pPr>
                    <w:spacing w:line="240" w:lineRule="auto"/>
                    <w:ind w:firstLine="0" w:firstLineChars="0"/>
                    <w:jc w:val="center"/>
                    <w:rPr>
                      <w:sz w:val="21"/>
                    </w:rPr>
                  </w:pPr>
                  <w:r>
                    <w:rPr>
                      <w:sz w:val="21"/>
                    </w:rPr>
                    <w:t>222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26.64</w:t>
                  </w:r>
                </w:p>
              </w:tc>
              <w:tc>
                <w:tcPr>
                  <w:tcW w:w="606" w:type="pct"/>
                  <w:tcBorders>
                    <w:tl2br w:val="nil"/>
                    <w:tr2bl w:val="nil"/>
                  </w:tcBorders>
                  <w:shd w:val="clear" w:color="auto" w:fill="auto"/>
                  <w:vAlign w:val="center"/>
                </w:tcPr>
                <w:p>
                  <w:pPr>
                    <w:spacing w:line="240" w:lineRule="auto"/>
                    <w:ind w:firstLine="0" w:firstLineChars="0"/>
                    <w:jc w:val="center"/>
                    <w:rPr>
                      <w:rFonts w:hint="default" w:eastAsia="仿宋"/>
                      <w:sz w:val="21"/>
                      <w:lang w:val="en-US" w:eastAsia="zh-CN"/>
                    </w:rPr>
                  </w:pPr>
                  <w:r>
                    <w:rPr>
                      <w:rFonts w:hint="eastAsia"/>
                      <w:sz w:val="21"/>
                      <w:lang w:val="en-US" w:eastAsia="zh-CN"/>
                    </w:rPr>
                    <w:t>26.64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restart"/>
                  <w:tcBorders>
                    <w:tl2br w:val="nil"/>
                    <w:tr2bl w:val="nil"/>
                  </w:tcBorders>
                  <w:shd w:val="clear" w:color="auto" w:fill="auto"/>
                  <w:vAlign w:val="center"/>
                </w:tcPr>
                <w:p>
                  <w:pPr>
                    <w:spacing w:line="240" w:lineRule="auto"/>
                    <w:ind w:firstLine="0" w:firstLineChars="0"/>
                    <w:jc w:val="center"/>
                    <w:rPr>
                      <w:b/>
                      <w:bCs/>
                      <w:sz w:val="21"/>
                    </w:rPr>
                  </w:pPr>
                  <w:r>
                    <w:rPr>
                      <w:b/>
                      <w:bCs/>
                      <w:sz w:val="21"/>
                    </w:rPr>
                    <w:t>加油机</w:t>
                  </w:r>
                </w:p>
              </w:tc>
              <w:tc>
                <w:tcPr>
                  <w:tcW w:w="1230"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加油作业损失</w:t>
                  </w:r>
                </w:p>
              </w:tc>
              <w:tc>
                <w:tcPr>
                  <w:tcW w:w="829" w:type="pct"/>
                  <w:tcBorders>
                    <w:tl2br w:val="nil"/>
                    <w:tr2bl w:val="nil"/>
                  </w:tcBorders>
                  <w:shd w:val="clear" w:color="auto" w:fill="auto"/>
                  <w:vAlign w:val="center"/>
                </w:tcPr>
                <w:p>
                  <w:pPr>
                    <w:spacing w:line="240" w:lineRule="auto"/>
                    <w:ind w:firstLine="0" w:firstLineChars="0"/>
                    <w:jc w:val="center"/>
                    <w:rPr>
                      <w:sz w:val="21"/>
                    </w:rPr>
                  </w:pPr>
                  <w:r>
                    <w:rPr>
                      <w:sz w:val="21"/>
                    </w:rPr>
                    <w:t>0.11</w:t>
                  </w:r>
                </w:p>
              </w:tc>
              <w:tc>
                <w:tcPr>
                  <w:tcW w:w="1218" w:type="pct"/>
                  <w:tcBorders>
                    <w:tl2br w:val="nil"/>
                    <w:tr2bl w:val="nil"/>
                  </w:tcBorders>
                  <w:shd w:val="clear" w:color="auto" w:fill="auto"/>
                  <w:vAlign w:val="center"/>
                </w:tcPr>
                <w:p>
                  <w:pPr>
                    <w:spacing w:line="240" w:lineRule="auto"/>
                    <w:ind w:firstLine="0" w:firstLineChars="0"/>
                    <w:jc w:val="center"/>
                    <w:rPr>
                      <w:sz w:val="21"/>
                    </w:rPr>
                  </w:pPr>
                  <w:r>
                    <w:rPr>
                      <w:sz w:val="21"/>
                    </w:rPr>
                    <w:t>222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24.42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0.2442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pct"/>
                  <w:vMerge w:val="continue"/>
                  <w:tcBorders>
                    <w:tl2br w:val="nil"/>
                    <w:tr2bl w:val="nil"/>
                  </w:tcBorders>
                  <w:shd w:val="clear" w:color="auto" w:fill="auto"/>
                  <w:vAlign w:val="center"/>
                </w:tcPr>
                <w:p>
                  <w:pPr>
                    <w:spacing w:line="240" w:lineRule="auto"/>
                    <w:ind w:firstLine="0" w:firstLineChars="0"/>
                    <w:jc w:val="center"/>
                    <w:rPr>
                      <w:b/>
                      <w:bCs/>
                      <w:sz w:val="21"/>
                    </w:rPr>
                  </w:pPr>
                </w:p>
              </w:tc>
              <w:tc>
                <w:tcPr>
                  <w:tcW w:w="1230" w:type="pct"/>
                  <w:tcBorders>
                    <w:tl2br w:val="nil"/>
                    <w:tr2bl w:val="nil"/>
                  </w:tcBorders>
                  <w:shd w:val="clear" w:color="auto" w:fill="auto"/>
                  <w:vAlign w:val="center"/>
                </w:tcPr>
                <w:p>
                  <w:pPr>
                    <w:spacing w:line="240" w:lineRule="auto"/>
                    <w:ind w:firstLine="0" w:firstLineChars="0"/>
                    <w:rPr>
                      <w:b/>
                      <w:bCs/>
                      <w:sz w:val="21"/>
                    </w:rPr>
                  </w:pPr>
                  <w:r>
                    <w:rPr>
                      <w:b/>
                      <w:bCs/>
                      <w:sz w:val="21"/>
                    </w:rPr>
                    <w:t>加油机作业、油罐车卸油等跑冒漏损失</w:t>
                  </w:r>
                </w:p>
              </w:tc>
              <w:tc>
                <w:tcPr>
                  <w:tcW w:w="829" w:type="pct"/>
                  <w:tcBorders>
                    <w:tl2br w:val="nil"/>
                    <w:tr2bl w:val="nil"/>
                  </w:tcBorders>
                  <w:shd w:val="clear" w:color="auto" w:fill="auto"/>
                  <w:vAlign w:val="center"/>
                </w:tcPr>
                <w:p>
                  <w:pPr>
                    <w:spacing w:line="240" w:lineRule="auto"/>
                    <w:ind w:firstLine="0" w:firstLineChars="0"/>
                    <w:jc w:val="center"/>
                    <w:rPr>
                      <w:sz w:val="21"/>
                    </w:rPr>
                  </w:pPr>
                  <w:r>
                    <w:rPr>
                      <w:sz w:val="21"/>
                    </w:rPr>
                    <w:t>0.03</w:t>
                  </w:r>
                </w:p>
              </w:tc>
              <w:tc>
                <w:tcPr>
                  <w:tcW w:w="1218" w:type="pct"/>
                  <w:tcBorders>
                    <w:tl2br w:val="nil"/>
                    <w:tr2bl w:val="nil"/>
                  </w:tcBorders>
                  <w:shd w:val="clear" w:color="auto" w:fill="auto"/>
                  <w:vAlign w:val="center"/>
                </w:tcPr>
                <w:p>
                  <w:pPr>
                    <w:spacing w:line="240" w:lineRule="auto"/>
                    <w:ind w:firstLine="0" w:firstLineChars="0"/>
                    <w:jc w:val="center"/>
                    <w:rPr>
                      <w:sz w:val="21"/>
                    </w:rPr>
                  </w:pPr>
                  <w:r>
                    <w:rPr>
                      <w:sz w:val="21"/>
                    </w:rPr>
                    <w:t>222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6.66</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0.0666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9" w:type="pct"/>
                  <w:gridSpan w:val="2"/>
                  <w:tcBorders>
                    <w:tl2br w:val="nil"/>
                    <w:tr2bl w:val="nil"/>
                  </w:tcBorders>
                  <w:shd w:val="clear" w:color="auto" w:fill="auto"/>
                  <w:vAlign w:val="center"/>
                </w:tcPr>
                <w:p>
                  <w:pPr>
                    <w:spacing w:line="240" w:lineRule="auto"/>
                    <w:ind w:firstLine="0" w:firstLineChars="0"/>
                    <w:jc w:val="center"/>
                    <w:rPr>
                      <w:b/>
                      <w:bCs/>
                      <w:sz w:val="21"/>
                    </w:rPr>
                  </w:pPr>
                  <w:r>
                    <w:rPr>
                      <w:b/>
                      <w:bCs/>
                      <w:sz w:val="21"/>
                    </w:rPr>
                    <w:t>合计</w:t>
                  </w:r>
                </w:p>
              </w:tc>
              <w:tc>
                <w:tcPr>
                  <w:tcW w:w="829"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1218" w:type="pct"/>
                  <w:tcBorders>
                    <w:tl2br w:val="nil"/>
                    <w:tr2bl w:val="nil"/>
                  </w:tcBorders>
                  <w:shd w:val="clear" w:color="auto" w:fill="auto"/>
                  <w:vAlign w:val="center"/>
                </w:tcPr>
                <w:p>
                  <w:pPr>
                    <w:spacing w:line="240" w:lineRule="auto"/>
                    <w:ind w:firstLine="0" w:firstLineChars="0"/>
                    <w:jc w:val="center"/>
                    <w:rPr>
                      <w:sz w:val="21"/>
                    </w:rPr>
                  </w:pPr>
                  <w:r>
                    <w:rPr>
                      <w:sz w:val="21"/>
                    </w:rPr>
                    <w:t>222</w:t>
                  </w:r>
                </w:p>
              </w:tc>
              <w:tc>
                <w:tcPr>
                  <w:tcW w:w="606" w:type="pct"/>
                  <w:tcBorders>
                    <w:tl2br w:val="nil"/>
                    <w:tr2bl w:val="nil"/>
                  </w:tcBorders>
                  <w:shd w:val="clear" w:color="auto" w:fill="auto"/>
                  <w:vAlign w:val="center"/>
                </w:tcPr>
                <w:p>
                  <w:pPr>
                    <w:spacing w:line="240" w:lineRule="auto"/>
                    <w:ind w:firstLine="0" w:firstLineChars="0"/>
                    <w:jc w:val="center"/>
                    <w:rPr>
                      <w:sz w:val="21"/>
                    </w:rPr>
                  </w:pPr>
                  <w:r>
                    <w:rPr>
                      <w:sz w:val="21"/>
                    </w:rPr>
                    <w:t>253.08</w:t>
                  </w:r>
                </w:p>
              </w:tc>
              <w:tc>
                <w:tcPr>
                  <w:tcW w:w="606" w:type="pct"/>
                  <w:tcBorders>
                    <w:tl2br w:val="nil"/>
                    <w:tr2bl w:val="nil"/>
                  </w:tcBorders>
                  <w:shd w:val="clear" w:color="auto" w:fill="auto"/>
                  <w:vAlign w:val="center"/>
                </w:tcPr>
                <w:p>
                  <w:pPr>
                    <w:spacing w:line="240" w:lineRule="auto"/>
                    <w:ind w:firstLine="0" w:firstLineChars="0"/>
                    <w:jc w:val="center"/>
                    <w:rPr>
                      <w:rFonts w:hint="default" w:eastAsia="仿宋"/>
                      <w:sz w:val="21"/>
                      <w:lang w:val="en-US" w:eastAsia="zh-CN"/>
                    </w:rPr>
                  </w:pPr>
                  <w:r>
                    <w:rPr>
                      <w:rFonts w:hint="eastAsia"/>
                      <w:sz w:val="21"/>
                      <w:lang w:val="en-US" w:eastAsia="zh-CN"/>
                    </w:rPr>
                    <w:t>28.9044</w:t>
                  </w:r>
                </w:p>
              </w:tc>
            </w:tr>
          </w:tbl>
          <w:p>
            <w:pPr>
              <w:ind w:firstLine="560"/>
              <w:jc w:val="both"/>
            </w:pPr>
            <w:r>
              <w:t>（2）汽车尾气</w:t>
            </w:r>
          </w:p>
          <w:p>
            <w:pPr>
              <w:ind w:firstLine="560"/>
              <w:jc w:val="both"/>
            </w:pPr>
            <w:r>
              <w:t>进入油气</w:t>
            </w:r>
            <w:r>
              <w:rPr>
                <w:rFonts w:hint="eastAsia"/>
              </w:rPr>
              <w:t>点</w:t>
            </w:r>
            <w:r>
              <w:t>的汽车排放的汽车废气包括排气管尾气、曲轴箱漏气、油箱到燃料系统之间的泄漏等，汽车废气的主要污染因子有 CO、HC、NOx、SO</w:t>
            </w:r>
            <w:r>
              <w:rPr>
                <w:vertAlign w:val="subscript"/>
              </w:rPr>
              <w:t>2</w:t>
            </w:r>
            <w:r>
              <w:t>。废气排放与车型、车况和车辆等有关，同时因汽车行驶状况而有较大差别，且呈无组织排放。本项目加油</w:t>
            </w:r>
            <w:r>
              <w:rPr>
                <w:rFonts w:hint="eastAsia"/>
              </w:rPr>
              <w:t>点</w:t>
            </w:r>
            <w:r>
              <w:t>进出车辆速度较慢，站内行驶路程短，因此，汽车尾气排放量较少，本次环评不做定量计算。</w:t>
            </w:r>
          </w:p>
          <w:p>
            <w:pPr>
              <w:ind w:firstLine="560"/>
              <w:jc w:val="both"/>
            </w:pPr>
            <w:r>
              <w:t>（3）备用柴油发电机废气</w:t>
            </w:r>
          </w:p>
          <w:p>
            <w:pPr>
              <w:ind w:firstLine="560"/>
              <w:jc w:val="both"/>
            </w:pPr>
            <w:r>
              <w:t>项目在站房</w:t>
            </w:r>
            <w:r>
              <w:rPr>
                <w:rFonts w:hint="eastAsia"/>
              </w:rPr>
              <w:t>配电间</w:t>
            </w:r>
            <w:r>
              <w:t>设置一台功率30KW的小型柴油发电机。柴油发电机产生的废气主要是CH、CO、NOx等，通过发电机自带的烟气净化处理装置处理后经排烟管引至屋顶排放。本项目的柴油发电机仅在停电时使用，使用频率较小。</w:t>
            </w:r>
          </w:p>
          <w:p>
            <w:pPr>
              <w:ind w:firstLine="560"/>
              <w:jc w:val="both"/>
            </w:pPr>
            <w:r>
              <w:t>（4）食堂油烟废气</w:t>
            </w:r>
          </w:p>
          <w:p>
            <w:pPr>
              <w:ind w:firstLine="560"/>
              <w:jc w:val="both"/>
            </w:pPr>
            <w:r>
              <w:t>厨房废气主要为厨房油烟。食物在烹饪、加工过程中将挥发出油脂、有机质及热分解或裂解产物，产生油烟废气。</w:t>
            </w:r>
          </w:p>
          <w:p>
            <w:pPr>
              <w:ind w:firstLine="560"/>
              <w:jc w:val="both"/>
            </w:pPr>
            <w:r>
              <w:t>本项目的员工人数约为2人，属于小型规模，年运行时间365天，日工作时间为2h，灶头排放量以900m</w:t>
            </w:r>
            <w:r>
              <w:rPr>
                <w:vertAlign w:val="superscript"/>
              </w:rPr>
              <w:t>3</w:t>
            </w:r>
            <w:r>
              <w:t>/h计。产生的废气主要为油烟废气，其主要成分是动植物油烟，据统计，目前居民人均食用油日用量约30g/人·d，则本项目日耗油量为0.06kg/d，年耗油为21.36kg/a，一般油烟挥发量占总耗油量的2-4%。本环评取3%，则本项目油烟日产生量为0.0018kg/d，年产生量0.6408kg/a，排放速率为0.0009kg/h，产生浓度为1mg/m</w:t>
            </w:r>
            <w:r>
              <w:rPr>
                <w:vertAlign w:val="superscript"/>
              </w:rPr>
              <w:t>3</w:t>
            </w:r>
            <w:r>
              <w:t>。</w:t>
            </w:r>
          </w:p>
          <w:p>
            <w:pPr>
              <w:ind w:firstLine="560"/>
              <w:jc w:val="both"/>
            </w:pPr>
            <w:r>
              <w:t>为预防食堂油烟对周围环境的影响，本项目厨房煮食产生的油烟拟采取家庭式抽油烟机处理后排放（处理效率按80%计），经处理后食堂油烟排放浓度为0.8mg/m</w:t>
            </w:r>
            <w:r>
              <w:rPr>
                <w:vertAlign w:val="superscript"/>
              </w:rPr>
              <w:t>3</w:t>
            </w:r>
            <w:r>
              <w:t>，满足《饮食业油烟排放标准(试行)》(GB18483-2001)的排放标准(2.0mg/m</w:t>
            </w:r>
            <w:r>
              <w:rPr>
                <w:vertAlign w:val="superscript"/>
              </w:rPr>
              <w:t>3</w:t>
            </w:r>
            <w:r>
              <w:t>)。由于本项目油烟产生量较小，且为不连续排放，经家庭式抽油烟机处理后对周围环境不会产生明显影响。</w:t>
            </w:r>
          </w:p>
          <w:p>
            <w:pPr>
              <w:spacing w:line="360" w:lineRule="auto"/>
              <w:ind w:firstLine="0" w:firstLineChars="0"/>
              <w:jc w:val="both"/>
              <w:rPr>
                <w:b/>
                <w:color w:val="000000"/>
                <w:szCs w:val="28"/>
              </w:rPr>
            </w:pPr>
            <w:r>
              <w:rPr>
                <w:b/>
                <w:color w:val="000000"/>
                <w:szCs w:val="28"/>
              </w:rPr>
              <w:t>3、噪声</w:t>
            </w:r>
          </w:p>
          <w:p>
            <w:pPr>
              <w:ind w:firstLine="560"/>
              <w:jc w:val="both"/>
              <w:rPr>
                <w:rFonts w:hint="eastAsia" w:eastAsia="仿宋"/>
                <w:lang w:eastAsia="zh-CN"/>
              </w:rPr>
            </w:pPr>
            <w:r>
              <w:t>本项目主要噪声源为：①项目厂区内来往的机动车行驶产生的交通噪声，噪声值约为60～80dB（A）。②加油机运行时产生的设备噪声，噪声值约为50~60dB（A）。③停电时柴油发电机产生的噪声约60～80dB（A）。</w:t>
            </w:r>
            <w:r>
              <w:rPr>
                <w:rFonts w:hint="eastAsia"/>
                <w:lang w:val="en-US" w:eastAsia="zh-CN"/>
              </w:rPr>
              <w:t>经现状监测，厂界达到</w:t>
            </w:r>
            <w:r>
              <w:rPr>
                <w:rFonts w:hint="eastAsia"/>
                <w:u w:val="none"/>
              </w:rPr>
              <w:t>《工业企业厂界环境噪声排放标准》（GB 12348-2008）中的2类标准</w:t>
            </w:r>
            <w:r>
              <w:rPr>
                <w:rFonts w:hint="eastAsia"/>
                <w:lang w:val="en-US" w:eastAsia="zh-CN"/>
              </w:rPr>
              <w:t>，敏感点达到</w:t>
            </w:r>
            <w:r>
              <w:t>《声环境质量标准》（GB3096-2008）中2类标准</w:t>
            </w:r>
            <w:r>
              <w:rPr>
                <w:rFonts w:hint="eastAsia"/>
                <w:lang w:eastAsia="zh-CN"/>
              </w:rPr>
              <w:t>。</w:t>
            </w:r>
          </w:p>
          <w:p>
            <w:pPr>
              <w:spacing w:line="360" w:lineRule="auto"/>
              <w:ind w:firstLine="0" w:firstLineChars="0"/>
              <w:jc w:val="both"/>
              <w:rPr>
                <w:b/>
                <w:color w:val="000000"/>
                <w:szCs w:val="28"/>
              </w:rPr>
            </w:pPr>
            <w:r>
              <w:rPr>
                <w:b/>
                <w:color w:val="000000"/>
                <w:szCs w:val="28"/>
              </w:rPr>
              <w:t>4、固体废物</w:t>
            </w:r>
          </w:p>
          <w:p>
            <w:pPr>
              <w:ind w:firstLine="560"/>
              <w:jc w:val="both"/>
            </w:pPr>
            <w:r>
              <w:t>本项目在运营过程中，产生的固体废物主要为：①生活垃圾，②含油抹布和手套，③油罐清洗过程产生的沉渣，④隔油池油泥。</w:t>
            </w:r>
          </w:p>
          <w:p>
            <w:pPr>
              <w:ind w:firstLine="560"/>
              <w:jc w:val="both"/>
            </w:pPr>
            <w:r>
              <w:t>1）生活垃圾</w:t>
            </w:r>
          </w:p>
          <w:p>
            <w:pPr>
              <w:ind w:firstLine="560"/>
              <w:jc w:val="both"/>
            </w:pPr>
            <w:r>
              <w:t>本项目营运期有员工2人，按工作人员人均产生生活垃圾量为1kg/d·人，生活垃圾量为2kg/d（0.73t/a），生活垃圾统一收集后交由环卫部门处置。</w:t>
            </w:r>
          </w:p>
          <w:p>
            <w:pPr>
              <w:ind w:firstLine="560"/>
              <w:jc w:val="both"/>
            </w:pPr>
            <w:r>
              <w:t>2）隔油池产生的油泥</w:t>
            </w:r>
          </w:p>
          <w:p>
            <w:pPr>
              <w:ind w:firstLine="560"/>
              <w:jc w:val="both"/>
            </w:pPr>
            <w:r>
              <w:t>本项目地面冲洗水排入隔油池会产生一定量的油泥，产生量约0.1t/a。隔油池油泥定期清掏，交由益阳绿芯环境资源有限公司。</w:t>
            </w:r>
          </w:p>
          <w:p>
            <w:pPr>
              <w:ind w:firstLine="560"/>
              <w:jc w:val="both"/>
            </w:pPr>
            <w:r>
              <w:t>3）危险废物</w:t>
            </w:r>
          </w:p>
          <w:p>
            <w:pPr>
              <w:ind w:firstLine="560"/>
              <w:jc w:val="both"/>
            </w:pPr>
            <w:r>
              <w:t>①含油抹布和手套（</w:t>
            </w:r>
            <w:r>
              <w:rPr>
                <w:rFonts w:hint="eastAsia"/>
                <w:lang w:eastAsia="zh-CN"/>
              </w:rPr>
              <w:t>HW49</w:t>
            </w:r>
            <w:r>
              <w:t>其他废物）</w:t>
            </w:r>
          </w:p>
          <w:p>
            <w:pPr>
              <w:ind w:firstLine="560"/>
              <w:jc w:val="both"/>
            </w:pPr>
            <w:r>
              <w:t>根据建设单位提供的资料，本项目营运期产生的含油抹布和手套约10kg/a。根据《国家危险废物名录》（部令第39号，2016年8月1日施行）含油抹布和手套属于危险废物编号</w:t>
            </w:r>
            <w:r>
              <w:rPr>
                <w:rFonts w:hint="eastAsia"/>
                <w:lang w:eastAsia="zh-CN"/>
              </w:rPr>
              <w:t>HW49</w:t>
            </w:r>
            <w:r>
              <w:t>，收集后交由有处理资质的单位处置。</w:t>
            </w:r>
          </w:p>
          <w:p>
            <w:pPr>
              <w:ind w:firstLine="560"/>
              <w:jc w:val="both"/>
            </w:pPr>
            <w:r>
              <w:t>②油罐清洗过程产生的沉渣（HW08废矿物油与含矿物油废物）</w:t>
            </w:r>
          </w:p>
          <w:p>
            <w:pPr>
              <w:ind w:firstLine="560"/>
              <w:jc w:val="both"/>
            </w:pPr>
            <w:r>
              <w:t>加油站在下述情况下要进行油罐清洗：新建油罐装油之前；换装不同种类的油料、原储油料对新换装的油料有影响时；需要对油罐进行明火烧焊或清除油漆时；在装油时间较长，罐内较脏时要清洗。</w:t>
            </w:r>
          </w:p>
          <w:p>
            <w:pPr>
              <w:ind w:firstLine="560"/>
              <w:jc w:val="both"/>
            </w:pPr>
            <w:r>
              <w:t>本项目每隔3～5年对油罐进行一次清洗，采用干洗法。干洗会产生少量的沉渣，沉渣量根据清洗时污染程度而定，届时由有资质的专业公司</w:t>
            </w:r>
            <w:r>
              <w:rPr>
                <w:rFonts w:hint="eastAsia"/>
              </w:rPr>
              <w:t>对油罐进行清洗</w:t>
            </w:r>
            <w:r>
              <w:t>。清洗油罐产生的底渣属于危险废物，对照《国家危险废物名录》（部令第39号，2016年8月1日施行）属于危废，编号900-249-08，仅在油罐清洗过程中产生，产生的沉渣重量最大约40kg/次。</w:t>
            </w:r>
            <w:r>
              <w:rPr>
                <w:rFonts w:hint="eastAsia"/>
              </w:rPr>
              <w:t>清洗油罐的沉渣</w:t>
            </w:r>
            <w:r>
              <w:t>由清洗油罐的公司清洗后当场运走。</w:t>
            </w:r>
          </w:p>
          <w:p>
            <w:pPr>
              <w:pStyle w:val="47"/>
              <w:spacing w:line="240" w:lineRule="auto"/>
              <w:ind w:firstLine="422"/>
              <w:rPr>
                <w:rFonts w:hint="default" w:eastAsia="仿宋"/>
                <w:szCs w:val="21"/>
              </w:rPr>
            </w:pPr>
            <w:r>
              <w:rPr>
                <w:rFonts w:hint="default" w:eastAsia="仿宋"/>
                <w:szCs w:val="21"/>
              </w:rPr>
              <w:t>表5-5  固体废弃物产生和排放状况</w:t>
            </w:r>
          </w:p>
          <w:tbl>
            <w:tblPr>
              <w:tblStyle w:val="26"/>
              <w:tblW w:w="4998"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22"/>
              <w:gridCol w:w="1665"/>
              <w:gridCol w:w="1227"/>
              <w:gridCol w:w="745"/>
              <w:gridCol w:w="3544"/>
              <w:gridCol w:w="10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244" w:type="pct"/>
                  <w:tcBorders>
                    <w:tl2br w:val="nil"/>
                    <w:tr2bl w:val="nil"/>
                  </w:tcBorders>
                  <w:shd w:val="clear" w:color="auto" w:fill="auto"/>
                  <w:vAlign w:val="center"/>
                </w:tcPr>
                <w:p>
                  <w:pPr>
                    <w:keepNext/>
                    <w:keepLines/>
                    <w:topLinePunct/>
                    <w:snapToGrid w:val="0"/>
                    <w:spacing w:line="240" w:lineRule="auto"/>
                    <w:ind w:left="-84" w:leftChars="-30" w:right="-84" w:rightChars="-30" w:firstLine="0" w:firstLineChars="0"/>
                    <w:jc w:val="center"/>
                    <w:rPr>
                      <w:b/>
                      <w:color w:val="000000"/>
                      <w:sz w:val="21"/>
                    </w:rPr>
                  </w:pPr>
                  <w:r>
                    <w:rPr>
                      <w:b/>
                      <w:color w:val="000000"/>
                      <w:sz w:val="21"/>
                    </w:rPr>
                    <w:t>序号</w:t>
                  </w:r>
                </w:p>
              </w:tc>
              <w:tc>
                <w:tcPr>
                  <w:tcW w:w="963"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污染物名称</w:t>
                  </w:r>
                </w:p>
              </w:tc>
              <w:tc>
                <w:tcPr>
                  <w:tcW w:w="710" w:type="pct"/>
                  <w:tcBorders>
                    <w:tl2br w:val="nil"/>
                    <w:tr2bl w:val="nil"/>
                  </w:tcBorders>
                  <w:shd w:val="clear" w:color="auto" w:fill="auto"/>
                  <w:vAlign w:val="center"/>
                </w:tcPr>
                <w:p>
                  <w:pPr>
                    <w:keepNext/>
                    <w:keepLines/>
                    <w:topLinePunct/>
                    <w:snapToGrid w:val="0"/>
                    <w:spacing w:line="240" w:lineRule="auto"/>
                    <w:ind w:left="-56" w:leftChars="-20" w:right="-112" w:rightChars="-40" w:firstLine="0" w:firstLineChars="0"/>
                    <w:jc w:val="center"/>
                    <w:rPr>
                      <w:b/>
                      <w:color w:val="000000"/>
                      <w:sz w:val="21"/>
                    </w:rPr>
                  </w:pPr>
                  <w:r>
                    <w:rPr>
                      <w:b/>
                      <w:color w:val="000000"/>
                      <w:sz w:val="21"/>
                    </w:rPr>
                    <w:t>产生量</w:t>
                  </w:r>
                </w:p>
              </w:tc>
              <w:tc>
                <w:tcPr>
                  <w:tcW w:w="431"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性状</w:t>
                  </w:r>
                </w:p>
              </w:tc>
              <w:tc>
                <w:tcPr>
                  <w:tcW w:w="2050"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处理处置方式</w:t>
                  </w:r>
                </w:p>
              </w:tc>
              <w:tc>
                <w:tcPr>
                  <w:tcW w:w="598"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44"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1</w:t>
                  </w:r>
                </w:p>
              </w:tc>
              <w:tc>
                <w:tcPr>
                  <w:tcW w:w="963"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生活垃圾</w:t>
                  </w:r>
                </w:p>
              </w:tc>
              <w:tc>
                <w:tcPr>
                  <w:tcW w:w="710"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0.73t/a</w:t>
                  </w:r>
                </w:p>
              </w:tc>
              <w:tc>
                <w:tcPr>
                  <w:tcW w:w="431"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固态</w:t>
                  </w:r>
                </w:p>
              </w:tc>
              <w:tc>
                <w:tcPr>
                  <w:tcW w:w="2050"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委托环卫部门统一处置</w:t>
                  </w:r>
                </w:p>
              </w:tc>
              <w:tc>
                <w:tcPr>
                  <w:tcW w:w="598" w:type="pct"/>
                  <w:tcBorders>
                    <w:tl2br w:val="nil"/>
                    <w:tr2bl w:val="nil"/>
                  </w:tcBorders>
                  <w:shd w:val="clear" w:color="auto" w:fill="auto"/>
                  <w:vAlign w:val="center"/>
                </w:tcPr>
                <w:p>
                  <w:pPr>
                    <w:keepNext/>
                    <w:keepLines/>
                    <w:spacing w:line="240" w:lineRule="auto"/>
                    <w:ind w:firstLine="0" w:firstLineChars="0"/>
                    <w:jc w:val="center"/>
                    <w:rPr>
                      <w:bCs/>
                      <w:color w:val="000000"/>
                      <w:sz w:val="21"/>
                    </w:rPr>
                  </w:pPr>
                  <w:r>
                    <w:rPr>
                      <w:bCs/>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trPr>
              <w:tc>
                <w:tcPr>
                  <w:tcW w:w="244"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2</w:t>
                  </w:r>
                </w:p>
              </w:tc>
              <w:tc>
                <w:tcPr>
                  <w:tcW w:w="963" w:type="pct"/>
                  <w:tcBorders>
                    <w:tl2br w:val="nil"/>
                    <w:tr2bl w:val="nil"/>
                  </w:tcBorders>
                  <w:shd w:val="clear" w:color="auto" w:fill="auto"/>
                  <w:vAlign w:val="center"/>
                </w:tcPr>
                <w:p>
                  <w:pPr>
                    <w:snapToGrid w:val="0"/>
                    <w:spacing w:line="240" w:lineRule="auto"/>
                    <w:ind w:firstLine="0" w:firstLineChars="0"/>
                    <w:jc w:val="center"/>
                    <w:rPr>
                      <w:rFonts w:hint="eastAsia" w:eastAsia="仿宋"/>
                      <w:b/>
                      <w:color w:val="000000"/>
                      <w:sz w:val="21"/>
                      <w:lang w:eastAsia="zh-CN"/>
                    </w:rPr>
                  </w:pPr>
                  <w:r>
                    <w:rPr>
                      <w:b/>
                      <w:color w:val="000000"/>
                      <w:sz w:val="21"/>
                    </w:rPr>
                    <w:t>地面冲洗废水产生的油</w:t>
                  </w:r>
                  <w:r>
                    <w:rPr>
                      <w:rFonts w:hint="eastAsia"/>
                      <w:b/>
                      <w:color w:val="000000"/>
                      <w:sz w:val="21"/>
                      <w:lang w:val="en-US" w:eastAsia="zh-CN"/>
                    </w:rPr>
                    <w:t>泥</w:t>
                  </w:r>
                </w:p>
              </w:tc>
              <w:tc>
                <w:tcPr>
                  <w:tcW w:w="710" w:type="pct"/>
                  <w:tcBorders>
                    <w:tl2br w:val="nil"/>
                    <w:tr2bl w:val="nil"/>
                  </w:tcBorders>
                  <w:shd w:val="clear" w:color="auto" w:fill="auto"/>
                  <w:vAlign w:val="center"/>
                </w:tcPr>
                <w:p>
                  <w:pPr>
                    <w:snapToGrid w:val="0"/>
                    <w:spacing w:line="240" w:lineRule="auto"/>
                    <w:ind w:firstLine="0" w:firstLineChars="0"/>
                    <w:jc w:val="center"/>
                    <w:rPr>
                      <w:bCs/>
                      <w:color w:val="000000"/>
                      <w:sz w:val="21"/>
                    </w:rPr>
                  </w:pPr>
                  <w:r>
                    <w:rPr>
                      <w:bCs/>
                      <w:color w:val="000000"/>
                      <w:sz w:val="21"/>
                    </w:rPr>
                    <w:t>0.1t/a</w:t>
                  </w:r>
                </w:p>
              </w:tc>
              <w:tc>
                <w:tcPr>
                  <w:tcW w:w="431" w:type="pct"/>
                  <w:tcBorders>
                    <w:tl2br w:val="nil"/>
                    <w:tr2bl w:val="nil"/>
                  </w:tcBorders>
                  <w:shd w:val="clear" w:color="auto" w:fill="auto"/>
                  <w:vAlign w:val="center"/>
                </w:tcPr>
                <w:p>
                  <w:pPr>
                    <w:keepNext/>
                    <w:keepLines/>
                    <w:spacing w:line="240" w:lineRule="auto"/>
                    <w:ind w:firstLine="0" w:firstLineChars="0"/>
                    <w:jc w:val="center"/>
                    <w:rPr>
                      <w:bCs/>
                      <w:color w:val="000000"/>
                      <w:sz w:val="21"/>
                    </w:rPr>
                  </w:pPr>
                  <w:r>
                    <w:rPr>
                      <w:rFonts w:hint="eastAsia"/>
                      <w:bCs/>
                      <w:color w:val="000000"/>
                      <w:sz w:val="21"/>
                    </w:rPr>
                    <w:t>半</w:t>
                  </w:r>
                  <w:r>
                    <w:rPr>
                      <w:bCs/>
                      <w:color w:val="000000"/>
                      <w:sz w:val="21"/>
                    </w:rPr>
                    <w:t>固态</w:t>
                  </w:r>
                </w:p>
              </w:tc>
              <w:tc>
                <w:tcPr>
                  <w:tcW w:w="2050" w:type="pct"/>
                  <w:tcBorders>
                    <w:tl2br w:val="nil"/>
                    <w:tr2bl w:val="nil"/>
                  </w:tcBorders>
                  <w:shd w:val="clear" w:color="auto" w:fill="auto"/>
                  <w:vAlign w:val="center"/>
                </w:tcPr>
                <w:p>
                  <w:pPr>
                    <w:keepNext/>
                    <w:keepLines/>
                    <w:autoSpaceDE w:val="0"/>
                    <w:autoSpaceDN w:val="0"/>
                    <w:spacing w:line="240" w:lineRule="auto"/>
                    <w:ind w:left="-56" w:leftChars="-20" w:right="-56" w:rightChars="-20" w:firstLine="0" w:firstLineChars="0"/>
                    <w:jc w:val="center"/>
                    <w:rPr>
                      <w:bCs/>
                      <w:color w:val="000000"/>
                      <w:sz w:val="21"/>
                    </w:rPr>
                  </w:pPr>
                  <w:r>
                    <w:rPr>
                      <w:bCs/>
                      <w:color w:val="000000"/>
                      <w:sz w:val="21"/>
                    </w:rPr>
                    <w:t>交由</w:t>
                  </w:r>
                  <w:r>
                    <w:rPr>
                      <w:color w:val="000000"/>
                      <w:sz w:val="21"/>
                    </w:rPr>
                    <w:t>益阳绿芯环境资源有限公司</w:t>
                  </w:r>
                  <w:r>
                    <w:rPr>
                      <w:bCs/>
                      <w:color w:val="000000"/>
                      <w:sz w:val="21"/>
                    </w:rPr>
                    <w:t>妥善处置</w:t>
                  </w:r>
                </w:p>
              </w:tc>
              <w:tc>
                <w:tcPr>
                  <w:tcW w:w="598"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危险废物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4"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3</w:t>
                  </w:r>
                </w:p>
              </w:tc>
              <w:tc>
                <w:tcPr>
                  <w:tcW w:w="963" w:type="pct"/>
                  <w:tcBorders>
                    <w:tl2br w:val="nil"/>
                    <w:tr2bl w:val="nil"/>
                  </w:tcBorders>
                  <w:shd w:val="clear" w:color="auto" w:fill="auto"/>
                  <w:vAlign w:val="center"/>
                </w:tcPr>
                <w:p>
                  <w:pPr>
                    <w:keepNext/>
                    <w:keepLines/>
                    <w:topLinePunct/>
                    <w:snapToGrid w:val="0"/>
                    <w:spacing w:line="240" w:lineRule="auto"/>
                    <w:ind w:firstLine="0" w:firstLineChars="0"/>
                    <w:jc w:val="center"/>
                    <w:rPr>
                      <w:b/>
                      <w:color w:val="000000"/>
                      <w:sz w:val="21"/>
                    </w:rPr>
                  </w:pPr>
                  <w:r>
                    <w:rPr>
                      <w:b/>
                      <w:color w:val="000000"/>
                      <w:sz w:val="21"/>
                    </w:rPr>
                    <w:t>含油抹布、手套（</w:t>
                  </w:r>
                  <w:r>
                    <w:rPr>
                      <w:rFonts w:hint="eastAsia"/>
                      <w:b/>
                      <w:color w:val="000000"/>
                      <w:sz w:val="21"/>
                      <w:lang w:eastAsia="zh-CN"/>
                    </w:rPr>
                    <w:t>HW49</w:t>
                  </w:r>
                  <w:r>
                    <w:rPr>
                      <w:b/>
                      <w:color w:val="000000"/>
                      <w:sz w:val="21"/>
                    </w:rPr>
                    <w:t>）</w:t>
                  </w:r>
                </w:p>
              </w:tc>
              <w:tc>
                <w:tcPr>
                  <w:tcW w:w="710"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0.01t/a</w:t>
                  </w:r>
                </w:p>
              </w:tc>
              <w:tc>
                <w:tcPr>
                  <w:tcW w:w="431" w:type="pct"/>
                  <w:tcBorders>
                    <w:tl2br w:val="nil"/>
                    <w:tr2bl w:val="nil"/>
                  </w:tcBorders>
                  <w:shd w:val="clear" w:color="auto" w:fill="auto"/>
                  <w:vAlign w:val="center"/>
                </w:tcPr>
                <w:p>
                  <w:pPr>
                    <w:keepNext/>
                    <w:keepLines/>
                    <w:spacing w:line="240" w:lineRule="auto"/>
                    <w:ind w:firstLine="0" w:firstLineChars="0"/>
                    <w:jc w:val="center"/>
                    <w:rPr>
                      <w:bCs/>
                      <w:color w:val="000000"/>
                      <w:sz w:val="21"/>
                    </w:rPr>
                  </w:pPr>
                  <w:r>
                    <w:rPr>
                      <w:bCs/>
                      <w:color w:val="000000"/>
                      <w:sz w:val="21"/>
                    </w:rPr>
                    <w:t>固态</w:t>
                  </w:r>
                </w:p>
              </w:tc>
              <w:tc>
                <w:tcPr>
                  <w:tcW w:w="2050" w:type="pct"/>
                  <w:tcBorders>
                    <w:tl2br w:val="nil"/>
                    <w:tr2bl w:val="nil"/>
                  </w:tcBorders>
                  <w:shd w:val="clear" w:color="auto" w:fill="auto"/>
                  <w:vAlign w:val="center"/>
                </w:tcPr>
                <w:p>
                  <w:pPr>
                    <w:keepNext/>
                    <w:keepLines/>
                    <w:autoSpaceDE w:val="0"/>
                    <w:autoSpaceDN w:val="0"/>
                    <w:spacing w:line="240" w:lineRule="auto"/>
                    <w:ind w:left="-56" w:leftChars="-20" w:right="-56" w:rightChars="-20" w:firstLine="0" w:firstLineChars="0"/>
                    <w:jc w:val="center"/>
                    <w:rPr>
                      <w:bCs/>
                      <w:color w:val="000000"/>
                      <w:sz w:val="21"/>
                    </w:rPr>
                  </w:pPr>
                  <w:r>
                    <w:rPr>
                      <w:bCs/>
                      <w:color w:val="000000"/>
                      <w:sz w:val="21"/>
                    </w:rPr>
                    <w:t>交给有资质的单位处理</w:t>
                  </w:r>
                </w:p>
              </w:tc>
              <w:tc>
                <w:tcPr>
                  <w:tcW w:w="598"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危险废物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44"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4</w:t>
                  </w:r>
                </w:p>
              </w:tc>
              <w:tc>
                <w:tcPr>
                  <w:tcW w:w="963" w:type="pct"/>
                  <w:tcBorders>
                    <w:tl2br w:val="nil"/>
                    <w:tr2bl w:val="nil"/>
                  </w:tcBorders>
                  <w:shd w:val="clear" w:color="auto" w:fill="auto"/>
                  <w:vAlign w:val="center"/>
                </w:tcPr>
                <w:p>
                  <w:pPr>
                    <w:keepNext/>
                    <w:keepLines/>
                    <w:topLinePunct/>
                    <w:snapToGrid w:val="0"/>
                    <w:spacing w:line="240" w:lineRule="auto"/>
                    <w:ind w:right="-56" w:rightChars="-20" w:firstLine="0" w:firstLineChars="0"/>
                    <w:jc w:val="center"/>
                    <w:rPr>
                      <w:b/>
                      <w:color w:val="000000"/>
                      <w:sz w:val="21"/>
                    </w:rPr>
                  </w:pPr>
                  <w:r>
                    <w:rPr>
                      <w:b/>
                      <w:color w:val="000000"/>
                      <w:sz w:val="21"/>
                    </w:rPr>
                    <w:t>油罐清洗过程产生的沉渣（HW08）</w:t>
                  </w:r>
                </w:p>
              </w:tc>
              <w:tc>
                <w:tcPr>
                  <w:tcW w:w="710"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0.04t/次</w:t>
                  </w:r>
                </w:p>
              </w:tc>
              <w:tc>
                <w:tcPr>
                  <w:tcW w:w="431" w:type="pct"/>
                  <w:tcBorders>
                    <w:tl2br w:val="nil"/>
                    <w:tr2bl w:val="nil"/>
                  </w:tcBorders>
                  <w:shd w:val="clear" w:color="auto" w:fill="auto"/>
                  <w:vAlign w:val="center"/>
                </w:tcPr>
                <w:p>
                  <w:pPr>
                    <w:keepNext/>
                    <w:keepLines/>
                    <w:spacing w:line="240" w:lineRule="auto"/>
                    <w:ind w:firstLine="0" w:firstLineChars="0"/>
                    <w:jc w:val="center"/>
                    <w:rPr>
                      <w:bCs/>
                      <w:color w:val="000000"/>
                      <w:sz w:val="21"/>
                    </w:rPr>
                  </w:pPr>
                  <w:r>
                    <w:rPr>
                      <w:bCs/>
                      <w:color w:val="000000"/>
                      <w:sz w:val="21"/>
                    </w:rPr>
                    <w:t>固态</w:t>
                  </w:r>
                </w:p>
              </w:tc>
              <w:tc>
                <w:tcPr>
                  <w:tcW w:w="2050" w:type="pct"/>
                  <w:tcBorders>
                    <w:tl2br w:val="nil"/>
                    <w:tr2bl w:val="nil"/>
                  </w:tcBorders>
                  <w:shd w:val="clear" w:color="auto" w:fill="auto"/>
                  <w:vAlign w:val="center"/>
                </w:tcPr>
                <w:p>
                  <w:pPr>
                    <w:keepNext/>
                    <w:keepLines/>
                    <w:autoSpaceDE w:val="0"/>
                    <w:autoSpaceDN w:val="0"/>
                    <w:spacing w:line="240" w:lineRule="auto"/>
                    <w:ind w:left="-56" w:leftChars="-20" w:right="-56" w:rightChars="-20" w:firstLine="0" w:firstLineChars="0"/>
                    <w:jc w:val="center"/>
                    <w:rPr>
                      <w:bCs/>
                      <w:color w:val="000000"/>
                      <w:sz w:val="21"/>
                    </w:rPr>
                  </w:pPr>
                  <w:r>
                    <w:rPr>
                      <w:color w:val="000000"/>
                      <w:sz w:val="21"/>
                    </w:rPr>
                    <w:t>由清洗油罐的公司当场运走，交给有资质的单位处理，不在厂区暂存</w:t>
                  </w:r>
                </w:p>
              </w:tc>
              <w:tc>
                <w:tcPr>
                  <w:tcW w:w="598" w:type="pct"/>
                  <w:tcBorders>
                    <w:tl2br w:val="nil"/>
                    <w:tr2bl w:val="nil"/>
                  </w:tcBorders>
                  <w:shd w:val="clear" w:color="auto" w:fill="auto"/>
                  <w:vAlign w:val="center"/>
                </w:tcPr>
                <w:p>
                  <w:pPr>
                    <w:keepNext/>
                    <w:keepLines/>
                    <w:topLinePunct/>
                    <w:snapToGrid w:val="0"/>
                    <w:spacing w:line="240" w:lineRule="auto"/>
                    <w:ind w:firstLine="0" w:firstLineChars="0"/>
                    <w:jc w:val="center"/>
                    <w:rPr>
                      <w:bCs/>
                      <w:color w:val="000000"/>
                      <w:sz w:val="21"/>
                    </w:rPr>
                  </w:pPr>
                  <w:r>
                    <w:rPr>
                      <w:bCs/>
                      <w:color w:val="000000"/>
                      <w:sz w:val="21"/>
                    </w:rPr>
                    <w:t>危险废物</w:t>
                  </w:r>
                </w:p>
              </w:tc>
            </w:tr>
          </w:tbl>
          <w:p>
            <w:pPr>
              <w:ind w:firstLine="0" w:firstLineChars="0"/>
              <w:jc w:val="both"/>
            </w:pPr>
          </w:p>
        </w:tc>
      </w:tr>
    </w:tbl>
    <w:p>
      <w:pPr>
        <w:pStyle w:val="3"/>
        <w:numPr>
          <w:ilvl w:val="0"/>
          <w:numId w:val="6"/>
        </w:numPr>
        <w:spacing w:before="0" w:after="0" w:line="240" w:lineRule="auto"/>
        <w:ind w:firstLine="0" w:firstLineChars="0"/>
        <w:sectPr>
          <w:pgSz w:w="12240" w:h="15840"/>
          <w:pgMar w:top="1440" w:right="1800" w:bottom="1440" w:left="1800" w:header="720" w:footer="720" w:gutter="0"/>
          <w:cols w:space="425" w:num="1"/>
          <w:docGrid w:type="lines" w:linePitch="312" w:charSpace="0"/>
        </w:sectPr>
      </w:pPr>
      <w:bookmarkStart w:id="35" w:name="_Toc3257"/>
      <w:bookmarkStart w:id="36" w:name="_Toc26309"/>
      <w:bookmarkStart w:id="37" w:name="_Toc4245"/>
      <w:bookmarkStart w:id="38" w:name="_Toc25755"/>
      <w:bookmarkStart w:id="39" w:name="_Toc20801"/>
      <w:bookmarkStart w:id="40" w:name="_Toc21203"/>
    </w:p>
    <w:p>
      <w:pPr>
        <w:pStyle w:val="3"/>
        <w:numPr>
          <w:ilvl w:val="0"/>
          <w:numId w:val="6"/>
        </w:numPr>
        <w:spacing w:before="0" w:after="0" w:line="240" w:lineRule="auto"/>
        <w:ind w:firstLine="0" w:firstLineChars="0"/>
      </w:pPr>
      <w:r>
        <w:t>项目主要污染物产生及预计排放情况</w:t>
      </w:r>
      <w:bookmarkEnd w:id="35"/>
      <w:bookmarkEnd w:id="36"/>
      <w:bookmarkEnd w:id="37"/>
      <w:bookmarkEnd w:id="38"/>
      <w:bookmarkEnd w:id="39"/>
      <w:bookmarkEnd w:id="40"/>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630"/>
        <w:gridCol w:w="1360"/>
        <w:gridCol w:w="2133"/>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tcBorders>
              <w:tl2br w:val="nil"/>
              <w:tr2bl w:val="nil"/>
            </w:tcBorders>
            <w:shd w:val="clear" w:color="auto" w:fill="auto"/>
            <w:vAlign w:val="center"/>
          </w:tcPr>
          <w:p>
            <w:pPr>
              <w:spacing w:line="240" w:lineRule="auto"/>
              <w:ind w:firstLine="0" w:firstLineChars="0"/>
              <w:jc w:val="center"/>
              <w:rPr>
                <w:b/>
                <w:color w:val="000000"/>
                <w:sz w:val="21"/>
              </w:rPr>
            </w:pPr>
            <w:r>
              <w:rPr>
                <w:b/>
                <w:color w:val="000000"/>
                <w:sz w:val="21"/>
              </w:rPr>
              <w:t>内容</w:t>
            </w:r>
          </w:p>
          <w:p>
            <w:pPr>
              <w:spacing w:line="240" w:lineRule="auto"/>
              <w:ind w:firstLine="0" w:firstLineChars="0"/>
              <w:jc w:val="center"/>
              <w:rPr>
                <w:color w:val="000000"/>
              </w:rPr>
            </w:pPr>
            <w:r>
              <w:rPr>
                <w:b/>
                <w:color w:val="000000"/>
                <w:sz w:val="21"/>
              </w:rPr>
              <w:t>类型</w:t>
            </w:r>
          </w:p>
        </w:tc>
        <w:tc>
          <w:tcPr>
            <w:tcW w:w="921"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排放源</w:t>
            </w:r>
          </w:p>
        </w:tc>
        <w:tc>
          <w:tcPr>
            <w:tcW w:w="768"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污染物</w:t>
            </w:r>
          </w:p>
          <w:p>
            <w:pPr>
              <w:spacing w:line="240" w:lineRule="auto"/>
              <w:ind w:firstLine="0" w:firstLineChars="0"/>
              <w:jc w:val="center"/>
              <w:rPr>
                <w:color w:val="000000"/>
              </w:rPr>
            </w:pPr>
            <w:r>
              <w:rPr>
                <w:b/>
                <w:color w:val="000000"/>
                <w:sz w:val="21"/>
              </w:rPr>
              <w:t>名称</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b/>
                <w:color w:val="000000"/>
                <w:sz w:val="21"/>
              </w:rPr>
              <w:t>处理前产生浓度及产生量</w:t>
            </w:r>
          </w:p>
        </w:tc>
        <w:tc>
          <w:tcPr>
            <w:tcW w:w="1741"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处理后排放浓度</w:t>
            </w:r>
          </w:p>
          <w:p>
            <w:pPr>
              <w:spacing w:line="240" w:lineRule="auto"/>
              <w:ind w:firstLine="0" w:firstLineChars="0"/>
              <w:jc w:val="center"/>
              <w:rPr>
                <w:color w:val="000000"/>
              </w:rPr>
            </w:pPr>
            <w:r>
              <w:rPr>
                <w:b/>
                <w:color w:val="000000"/>
                <w:sz w:val="21"/>
              </w:rPr>
              <w:t>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62" w:type="pct"/>
            <w:vMerge w:val="restar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大气污</w:t>
            </w:r>
          </w:p>
          <w:p>
            <w:pPr>
              <w:spacing w:line="240" w:lineRule="auto"/>
              <w:ind w:firstLine="0" w:firstLineChars="0"/>
              <w:jc w:val="center"/>
              <w:rPr>
                <w:color w:val="000000"/>
              </w:rPr>
            </w:pPr>
            <w:r>
              <w:rPr>
                <w:b/>
                <w:color w:val="000000"/>
                <w:sz w:val="21"/>
              </w:rPr>
              <w:t>染物</w:t>
            </w:r>
          </w:p>
        </w:tc>
        <w:tc>
          <w:tcPr>
            <w:tcW w:w="921"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卸油油气</w:t>
            </w:r>
          </w:p>
          <w:p>
            <w:pPr>
              <w:pStyle w:val="22"/>
              <w:autoSpaceDE w:val="0"/>
              <w:autoSpaceDN w:val="0"/>
              <w:spacing w:line="240" w:lineRule="auto"/>
              <w:ind w:firstLine="0" w:firstLineChars="0"/>
              <w:jc w:val="center"/>
              <w:rPr>
                <w:color w:val="000000"/>
                <w:sz w:val="21"/>
              </w:rPr>
            </w:pPr>
            <w:r>
              <w:rPr>
                <w:color w:val="000000"/>
                <w:kern w:val="0"/>
                <w:sz w:val="21"/>
              </w:rPr>
              <w:t>（油罐大呼吸）</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非甲烷总烃</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195.36kg/a</w:t>
            </w:r>
          </w:p>
        </w:tc>
        <w:tc>
          <w:tcPr>
            <w:tcW w:w="1741" w:type="pct"/>
            <w:tcBorders>
              <w:tl2br w:val="nil"/>
              <w:tr2bl w:val="nil"/>
            </w:tcBorders>
            <w:shd w:val="clear" w:color="auto" w:fill="auto"/>
            <w:vAlign w:val="center"/>
          </w:tcPr>
          <w:p>
            <w:pPr>
              <w:widowControl/>
              <w:spacing w:line="240" w:lineRule="auto"/>
              <w:ind w:firstLine="0" w:firstLineChars="0"/>
              <w:jc w:val="center"/>
              <w:textAlignment w:val="center"/>
              <w:rPr>
                <w:color w:val="000000"/>
              </w:rPr>
            </w:pPr>
            <w:r>
              <w:rPr>
                <w:color w:val="000000"/>
                <w:sz w:val="21"/>
              </w:rPr>
              <w:t>1.9536kg/a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加油作业废气</w:t>
            </w:r>
          </w:p>
          <w:p>
            <w:pPr>
              <w:spacing w:line="240" w:lineRule="auto"/>
              <w:ind w:firstLine="0" w:firstLineChars="0"/>
              <w:jc w:val="center"/>
              <w:rPr>
                <w:color w:val="000000"/>
              </w:rPr>
            </w:pPr>
            <w:r>
              <w:rPr>
                <w:color w:val="000000"/>
                <w:sz w:val="21"/>
              </w:rPr>
              <w:t>（无组织）</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非甲烷总烃</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24.42kg/a</w:t>
            </w:r>
          </w:p>
        </w:tc>
        <w:tc>
          <w:tcPr>
            <w:tcW w:w="1741" w:type="pct"/>
            <w:tcBorders>
              <w:tl2br w:val="nil"/>
              <w:tr2bl w:val="nil"/>
            </w:tcBorders>
            <w:shd w:val="clear" w:color="auto" w:fill="auto"/>
            <w:vAlign w:val="center"/>
          </w:tcPr>
          <w:p>
            <w:pPr>
              <w:widowControl/>
              <w:spacing w:line="240" w:lineRule="auto"/>
              <w:ind w:firstLine="0" w:firstLineChars="0"/>
              <w:jc w:val="center"/>
              <w:textAlignment w:val="center"/>
              <w:rPr>
                <w:color w:val="000000"/>
              </w:rPr>
            </w:pPr>
            <w:r>
              <w:rPr>
                <w:color w:val="000000"/>
                <w:sz w:val="21"/>
              </w:rPr>
              <w:t>0.2442kg/a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油罐小呼吸</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非甲烷总烃</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26.64kg/a</w:t>
            </w:r>
          </w:p>
        </w:tc>
        <w:tc>
          <w:tcPr>
            <w:tcW w:w="1741" w:type="pct"/>
            <w:tcBorders>
              <w:tl2br w:val="nil"/>
              <w:tr2bl w:val="nil"/>
            </w:tcBorders>
            <w:shd w:val="clear" w:color="auto" w:fill="auto"/>
            <w:vAlign w:val="center"/>
          </w:tcPr>
          <w:p>
            <w:pPr>
              <w:widowControl/>
              <w:spacing w:line="240" w:lineRule="auto"/>
              <w:ind w:firstLine="0" w:firstLineChars="0"/>
              <w:jc w:val="center"/>
              <w:textAlignment w:val="center"/>
              <w:rPr>
                <w:color w:val="000000"/>
              </w:rPr>
            </w:pPr>
            <w:r>
              <w:rPr>
                <w:color w:val="000000"/>
                <w:sz w:val="21"/>
              </w:rPr>
              <w:t>26</w:t>
            </w:r>
            <w:r>
              <w:rPr>
                <w:rFonts w:hint="eastAsia"/>
                <w:color w:val="000000"/>
                <w:sz w:val="21"/>
                <w:lang w:eastAsia="zh-CN"/>
              </w:rPr>
              <w:t>.</w:t>
            </w:r>
            <w:r>
              <w:rPr>
                <w:color w:val="000000"/>
                <w:sz w:val="21"/>
              </w:rPr>
              <w:t>64kg/a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柴油发电机废气</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SO</w:t>
            </w:r>
            <w:r>
              <w:rPr>
                <w:color w:val="000000"/>
                <w:sz w:val="21"/>
                <w:vertAlign w:val="subscript"/>
              </w:rPr>
              <w:t>2</w:t>
            </w:r>
            <w:r>
              <w:rPr>
                <w:color w:val="000000"/>
                <w:sz w:val="21"/>
              </w:rPr>
              <w:t>、NO</w:t>
            </w:r>
            <w:r>
              <w:rPr>
                <w:color w:val="000000"/>
                <w:sz w:val="21"/>
                <w:vertAlign w:val="subscript"/>
              </w:rPr>
              <w:t>2</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少量</w:t>
            </w:r>
          </w:p>
        </w:tc>
        <w:tc>
          <w:tcPr>
            <w:tcW w:w="1741" w:type="pct"/>
            <w:tcBorders>
              <w:tl2br w:val="nil"/>
              <w:tr2bl w:val="nil"/>
            </w:tcBorders>
            <w:shd w:val="clear" w:color="auto" w:fill="auto"/>
            <w:vAlign w:val="center"/>
          </w:tcPr>
          <w:p>
            <w:pPr>
              <w:widowControl/>
              <w:spacing w:line="240" w:lineRule="auto"/>
              <w:ind w:firstLine="0" w:firstLineChars="0"/>
              <w:jc w:val="center"/>
              <w:textAlignment w:val="center"/>
              <w:rPr>
                <w:color w:val="000000"/>
              </w:rPr>
            </w:pPr>
            <w:r>
              <w:rPr>
                <w:color w:val="000000"/>
                <w:sz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食堂油烟</w:t>
            </w:r>
          </w:p>
        </w:tc>
        <w:tc>
          <w:tcPr>
            <w:tcW w:w="768"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油烟</w:t>
            </w:r>
          </w:p>
        </w:tc>
        <w:tc>
          <w:tcPr>
            <w:tcW w:w="1205" w:type="pct"/>
            <w:tcBorders>
              <w:tl2br w:val="nil"/>
              <w:tr2bl w:val="nil"/>
            </w:tcBorders>
            <w:shd w:val="clear" w:color="auto" w:fill="auto"/>
            <w:vAlign w:val="center"/>
          </w:tcPr>
          <w:p>
            <w:pPr>
              <w:spacing w:line="240" w:lineRule="auto"/>
              <w:ind w:firstLine="0" w:firstLineChars="0"/>
              <w:jc w:val="both"/>
              <w:rPr>
                <w:color w:val="000000"/>
                <w:kern w:val="0"/>
              </w:rPr>
            </w:pPr>
            <w:r>
              <w:rPr>
                <w:color w:val="000000"/>
                <w:sz w:val="21"/>
              </w:rPr>
              <w:t>1mg/m</w:t>
            </w:r>
            <w:r>
              <w:rPr>
                <w:color w:val="000000"/>
                <w:sz w:val="21"/>
                <w:vertAlign w:val="superscript"/>
              </w:rPr>
              <w:t>3</w:t>
            </w:r>
            <w:r>
              <w:rPr>
                <w:color w:val="000000"/>
                <w:sz w:val="21"/>
              </w:rPr>
              <w:t>、0.6408kg/a</w:t>
            </w:r>
          </w:p>
        </w:tc>
        <w:tc>
          <w:tcPr>
            <w:tcW w:w="1741"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0.8mg/m</w:t>
            </w:r>
            <w:r>
              <w:rPr>
                <w:color w:val="000000"/>
                <w:sz w:val="21"/>
                <w:vertAlign w:val="superscript"/>
              </w:rPr>
              <w:t>3</w:t>
            </w:r>
            <w:r>
              <w:rPr>
                <w:color w:val="000000"/>
                <w:sz w:val="21"/>
              </w:rPr>
              <w:t>、0.51264kg/a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62" w:type="pct"/>
            <w:vMerge w:val="restar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水污</w:t>
            </w:r>
          </w:p>
          <w:p>
            <w:pPr>
              <w:spacing w:line="240" w:lineRule="auto"/>
              <w:ind w:firstLine="0" w:firstLineChars="0"/>
              <w:jc w:val="center"/>
              <w:rPr>
                <w:color w:val="000000"/>
              </w:rPr>
            </w:pPr>
            <w:r>
              <w:rPr>
                <w:b/>
                <w:color w:val="000000"/>
                <w:sz w:val="21"/>
              </w:rPr>
              <w:t>染物</w:t>
            </w:r>
          </w:p>
        </w:tc>
        <w:tc>
          <w:tcPr>
            <w:tcW w:w="921" w:type="pct"/>
            <w:vMerge w:val="restart"/>
            <w:tcBorders>
              <w:tl2br w:val="nil"/>
              <w:tr2bl w:val="nil"/>
            </w:tcBorders>
            <w:shd w:val="clear" w:color="auto" w:fill="auto"/>
            <w:vAlign w:val="center"/>
          </w:tcPr>
          <w:p>
            <w:pPr>
              <w:tabs>
                <w:tab w:val="left" w:pos="4425"/>
              </w:tabs>
              <w:snapToGrid w:val="0"/>
              <w:spacing w:line="240" w:lineRule="auto"/>
              <w:ind w:firstLine="0" w:firstLineChars="0"/>
              <w:jc w:val="center"/>
              <w:rPr>
                <w:color w:val="000000"/>
              </w:rPr>
            </w:pPr>
            <w:r>
              <w:rPr>
                <w:color w:val="000000"/>
                <w:sz w:val="21"/>
              </w:rPr>
              <w:t>生活污水</w:t>
            </w:r>
          </w:p>
          <w:p>
            <w:pPr>
              <w:tabs>
                <w:tab w:val="left" w:pos="4425"/>
              </w:tabs>
              <w:snapToGrid w:val="0"/>
              <w:spacing w:line="240" w:lineRule="auto"/>
              <w:ind w:firstLine="0" w:firstLineChars="0"/>
              <w:jc w:val="center"/>
              <w:rPr>
                <w:color w:val="000000"/>
              </w:rPr>
            </w:pPr>
            <w:r>
              <w:rPr>
                <w:rFonts w:hint="eastAsia"/>
                <w:color w:val="000000"/>
                <w:sz w:val="21"/>
              </w:rPr>
              <w:t>65.7m</w:t>
            </w:r>
            <w:r>
              <w:rPr>
                <w:rFonts w:hint="eastAsia"/>
                <w:color w:val="000000"/>
                <w:sz w:val="21"/>
                <w:vertAlign w:val="superscript"/>
              </w:rPr>
              <w:t>3</w:t>
            </w:r>
            <w:r>
              <w:rPr>
                <w:color w:val="000000"/>
                <w:sz w:val="21"/>
              </w:rPr>
              <w:t>/a</w:t>
            </w: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COD</w:t>
            </w:r>
          </w:p>
        </w:tc>
        <w:tc>
          <w:tcPr>
            <w:tcW w:w="1205"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320mg/L，</w:t>
            </w:r>
            <w:r>
              <w:rPr>
                <w:color w:val="000000"/>
                <w:kern w:val="0"/>
                <w:sz w:val="21"/>
              </w:rPr>
              <w:t>0.0</w:t>
            </w:r>
            <w:r>
              <w:rPr>
                <w:rFonts w:hint="eastAsia"/>
                <w:color w:val="000000"/>
                <w:kern w:val="0"/>
                <w:sz w:val="21"/>
              </w:rPr>
              <w:t>2</w:t>
            </w:r>
            <w:r>
              <w:rPr>
                <w:color w:val="000000"/>
                <w:kern w:val="0"/>
                <w:sz w:val="21"/>
              </w:rPr>
              <w:t>1</w:t>
            </w:r>
            <w:r>
              <w:rPr>
                <w:color w:val="000000"/>
                <w:sz w:val="21"/>
              </w:rPr>
              <w:t>t/a</w:t>
            </w:r>
          </w:p>
        </w:tc>
        <w:tc>
          <w:tcPr>
            <w:tcW w:w="1741" w:type="pct"/>
            <w:vMerge w:val="restar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经化粪池处理后用作农肥，不外排。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BOD</w:t>
            </w:r>
            <w:r>
              <w:rPr>
                <w:color w:val="000000"/>
                <w:sz w:val="21"/>
                <w:vertAlign w:val="subscript"/>
              </w:rPr>
              <w:t>5</w:t>
            </w:r>
          </w:p>
        </w:tc>
        <w:tc>
          <w:tcPr>
            <w:tcW w:w="1205"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180mg/L，</w:t>
            </w:r>
            <w:r>
              <w:rPr>
                <w:color w:val="000000"/>
                <w:kern w:val="0"/>
                <w:sz w:val="21"/>
              </w:rPr>
              <w:t>0.0</w:t>
            </w:r>
            <w:r>
              <w:rPr>
                <w:rFonts w:hint="eastAsia"/>
                <w:color w:val="000000"/>
                <w:kern w:val="0"/>
                <w:sz w:val="21"/>
              </w:rPr>
              <w:t>11</w:t>
            </w:r>
            <w:r>
              <w:rPr>
                <w:color w:val="000000"/>
                <w:sz w:val="21"/>
              </w:rPr>
              <w:t>t/a</w:t>
            </w:r>
          </w:p>
        </w:tc>
        <w:tc>
          <w:tcPr>
            <w:tcW w:w="1741" w:type="pct"/>
            <w:vMerge w:val="continue"/>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NH</w:t>
            </w:r>
            <w:r>
              <w:rPr>
                <w:color w:val="000000"/>
                <w:sz w:val="21"/>
                <w:vertAlign w:val="subscript"/>
              </w:rPr>
              <w:t>3</w:t>
            </w:r>
            <w:r>
              <w:rPr>
                <w:color w:val="000000"/>
                <w:sz w:val="21"/>
              </w:rPr>
              <w:t>-N</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30mg/L，</w:t>
            </w:r>
            <w:r>
              <w:rPr>
                <w:color w:val="000000"/>
                <w:kern w:val="0"/>
                <w:sz w:val="21"/>
              </w:rPr>
              <w:t>0.00</w:t>
            </w:r>
            <w:r>
              <w:rPr>
                <w:rFonts w:hint="eastAsia"/>
                <w:color w:val="000000"/>
                <w:kern w:val="0"/>
                <w:sz w:val="21"/>
              </w:rPr>
              <w:t>19</w:t>
            </w:r>
            <w:r>
              <w:rPr>
                <w:color w:val="000000"/>
                <w:sz w:val="21"/>
              </w:rPr>
              <w:t>t/a</w:t>
            </w:r>
          </w:p>
        </w:tc>
        <w:tc>
          <w:tcPr>
            <w:tcW w:w="1741" w:type="pct"/>
            <w:vMerge w:val="continue"/>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动植物油</w:t>
            </w:r>
          </w:p>
        </w:tc>
        <w:tc>
          <w:tcPr>
            <w:tcW w:w="1205" w:type="pct"/>
            <w:tcBorders>
              <w:tl2br w:val="nil"/>
              <w:tr2bl w:val="nil"/>
            </w:tcBorders>
            <w:shd w:val="clear" w:color="auto" w:fill="auto"/>
            <w:vAlign w:val="center"/>
          </w:tcPr>
          <w:p>
            <w:pPr>
              <w:snapToGrid w:val="0"/>
              <w:spacing w:line="240" w:lineRule="auto"/>
              <w:ind w:firstLine="0" w:firstLineChars="0"/>
              <w:jc w:val="center"/>
              <w:rPr>
                <w:color w:val="000000"/>
              </w:rPr>
            </w:pPr>
            <w:r>
              <w:rPr>
                <w:color w:val="000000"/>
                <w:sz w:val="21"/>
              </w:rPr>
              <w:t>20mg/L，</w:t>
            </w:r>
            <w:r>
              <w:rPr>
                <w:color w:val="000000"/>
                <w:kern w:val="0"/>
                <w:sz w:val="21"/>
              </w:rPr>
              <w:t>0.00</w:t>
            </w:r>
            <w:r>
              <w:rPr>
                <w:rFonts w:hint="eastAsia"/>
                <w:color w:val="000000"/>
                <w:kern w:val="0"/>
                <w:sz w:val="21"/>
              </w:rPr>
              <w:t>13</w:t>
            </w:r>
            <w:r>
              <w:rPr>
                <w:color w:val="000000"/>
                <w:sz w:val="21"/>
              </w:rPr>
              <w:t>t/a</w:t>
            </w:r>
          </w:p>
        </w:tc>
        <w:tc>
          <w:tcPr>
            <w:tcW w:w="1741" w:type="pct"/>
            <w:vMerge w:val="continue"/>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vMerge w:val="restart"/>
            <w:tcBorders>
              <w:tl2br w:val="nil"/>
              <w:tr2bl w:val="nil"/>
            </w:tcBorders>
            <w:shd w:val="clear" w:color="auto" w:fill="auto"/>
            <w:vAlign w:val="center"/>
          </w:tcPr>
          <w:p>
            <w:pPr>
              <w:tabs>
                <w:tab w:val="left" w:pos="4425"/>
              </w:tabs>
              <w:snapToGrid w:val="0"/>
              <w:spacing w:line="240" w:lineRule="auto"/>
              <w:ind w:firstLine="0" w:firstLineChars="0"/>
              <w:jc w:val="center"/>
              <w:rPr>
                <w:color w:val="000000"/>
                <w:sz w:val="21"/>
              </w:rPr>
            </w:pPr>
            <w:r>
              <w:rPr>
                <w:color w:val="000000"/>
                <w:sz w:val="21"/>
              </w:rPr>
              <w:t>地面冲洗水</w:t>
            </w:r>
          </w:p>
          <w:p>
            <w:pPr>
              <w:tabs>
                <w:tab w:val="left" w:pos="4425"/>
              </w:tabs>
              <w:snapToGrid w:val="0"/>
              <w:spacing w:line="240" w:lineRule="auto"/>
              <w:ind w:firstLine="0" w:firstLineChars="0"/>
              <w:jc w:val="center"/>
            </w:pPr>
            <w:r>
              <w:rPr>
                <w:color w:val="000000"/>
                <w:sz w:val="21"/>
              </w:rPr>
              <w:t>10.8 m</w:t>
            </w:r>
            <w:r>
              <w:rPr>
                <w:color w:val="000000"/>
                <w:sz w:val="21"/>
                <w:vertAlign w:val="superscript"/>
              </w:rPr>
              <w:t>3</w:t>
            </w:r>
            <w:r>
              <w:rPr>
                <w:color w:val="000000"/>
                <w:sz w:val="21"/>
              </w:rPr>
              <w:t>/a</w:t>
            </w: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COD</w:t>
            </w:r>
          </w:p>
        </w:tc>
        <w:tc>
          <w:tcPr>
            <w:tcW w:w="1205" w:type="pct"/>
            <w:tcBorders>
              <w:tl2br w:val="nil"/>
              <w:tr2bl w:val="nil"/>
            </w:tcBorders>
            <w:shd w:val="clear" w:color="auto" w:fill="auto"/>
            <w:vAlign w:val="center"/>
          </w:tcPr>
          <w:p>
            <w:pPr>
              <w:snapToGrid w:val="0"/>
              <w:spacing w:line="240" w:lineRule="auto"/>
              <w:ind w:firstLine="0" w:firstLineChars="0"/>
              <w:jc w:val="center"/>
              <w:rPr>
                <w:color w:val="000000"/>
              </w:rPr>
            </w:pPr>
            <w:r>
              <w:rPr>
                <w:rFonts w:hint="eastAsia"/>
                <w:color w:val="000000"/>
                <w:sz w:val="21"/>
              </w:rPr>
              <w:t>50</w:t>
            </w:r>
            <w:r>
              <w:rPr>
                <w:color w:val="000000"/>
                <w:sz w:val="21"/>
              </w:rPr>
              <w:t>mg/L，</w:t>
            </w:r>
            <w:r>
              <w:rPr>
                <w:color w:val="000000"/>
                <w:kern w:val="0"/>
                <w:sz w:val="21"/>
              </w:rPr>
              <w:t>0.0</w:t>
            </w:r>
            <w:r>
              <w:rPr>
                <w:rFonts w:hint="eastAsia"/>
                <w:color w:val="000000"/>
                <w:kern w:val="0"/>
                <w:sz w:val="21"/>
              </w:rPr>
              <w:t>054</w:t>
            </w:r>
            <w:r>
              <w:rPr>
                <w:color w:val="000000"/>
                <w:sz w:val="21"/>
              </w:rPr>
              <w:t>t/a</w:t>
            </w:r>
          </w:p>
        </w:tc>
        <w:tc>
          <w:tcPr>
            <w:tcW w:w="1741" w:type="pct"/>
            <w:vMerge w:val="restart"/>
            <w:tcBorders>
              <w:tl2br w:val="nil"/>
              <w:tr2bl w:val="nil"/>
            </w:tcBorders>
            <w:shd w:val="clear" w:color="auto" w:fill="auto"/>
            <w:vAlign w:val="center"/>
          </w:tcPr>
          <w:p>
            <w:pPr>
              <w:widowControl/>
              <w:spacing w:line="240" w:lineRule="auto"/>
              <w:ind w:firstLine="0" w:firstLineChars="0"/>
              <w:jc w:val="center"/>
              <w:textAlignment w:val="center"/>
              <w:rPr>
                <w:color w:val="000000"/>
                <w:sz w:val="21"/>
              </w:rPr>
            </w:pPr>
            <w:r>
              <w:rPr>
                <w:color w:val="000000"/>
                <w:sz w:val="21"/>
              </w:rPr>
              <w:t>经隔油池处理用作绿化，不外排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62" w:type="pct"/>
            <w:vMerge w:val="continue"/>
            <w:tcBorders>
              <w:tl2br w:val="nil"/>
              <w:tr2bl w:val="nil"/>
            </w:tcBorders>
            <w:shd w:val="clear" w:color="auto" w:fill="auto"/>
            <w:vAlign w:val="center"/>
          </w:tcPr>
          <w:p>
            <w:pPr>
              <w:snapToGrid w:val="0"/>
              <w:spacing w:line="240" w:lineRule="auto"/>
              <w:ind w:firstLine="0" w:firstLineChars="0"/>
              <w:jc w:val="cente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pP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SS</w:t>
            </w:r>
          </w:p>
        </w:tc>
        <w:tc>
          <w:tcPr>
            <w:tcW w:w="1205" w:type="pct"/>
            <w:tcBorders>
              <w:tl2br w:val="nil"/>
              <w:tr2bl w:val="nil"/>
            </w:tcBorders>
            <w:shd w:val="clear" w:color="auto" w:fill="auto"/>
            <w:vAlign w:val="center"/>
          </w:tcPr>
          <w:p>
            <w:pPr>
              <w:snapToGrid w:val="0"/>
              <w:spacing w:line="240" w:lineRule="auto"/>
              <w:ind w:firstLine="0" w:firstLineChars="0"/>
              <w:jc w:val="both"/>
              <w:rPr>
                <w:color w:val="000000"/>
                <w:sz w:val="21"/>
              </w:rPr>
            </w:pPr>
            <w:r>
              <w:rPr>
                <w:rFonts w:hint="eastAsia"/>
                <w:sz w:val="21"/>
              </w:rPr>
              <w:t>40</w:t>
            </w:r>
            <w:r>
              <w:rPr>
                <w:sz w:val="21"/>
              </w:rPr>
              <w:t>mg/L，0.00</w:t>
            </w:r>
            <w:r>
              <w:rPr>
                <w:rFonts w:hint="eastAsia"/>
                <w:sz w:val="21"/>
              </w:rPr>
              <w:t>0432</w:t>
            </w:r>
            <w:r>
              <w:rPr>
                <w:sz w:val="21"/>
              </w:rPr>
              <w:t>t/a</w:t>
            </w:r>
          </w:p>
        </w:tc>
        <w:tc>
          <w:tcPr>
            <w:tcW w:w="1741" w:type="pct"/>
            <w:vMerge w:val="continue"/>
            <w:tcBorders>
              <w:tl2br w:val="nil"/>
              <w:tr2bl w:val="nil"/>
            </w:tcBorders>
            <w:shd w:val="clear" w:color="auto" w:fill="auto"/>
            <w:vAlign w:val="center"/>
          </w:tcPr>
          <w:p>
            <w:pPr>
              <w:snapToGrid w:val="0"/>
              <w:spacing w:line="240" w:lineRule="auto"/>
              <w:ind w:firstLine="0" w:firstLineChars="0"/>
              <w:jc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62" w:type="pct"/>
            <w:vMerge w:val="continue"/>
            <w:tcBorders>
              <w:tl2br w:val="nil"/>
              <w:tr2bl w:val="nil"/>
            </w:tcBorders>
            <w:shd w:val="clear" w:color="auto" w:fill="auto"/>
            <w:vAlign w:val="center"/>
          </w:tcPr>
          <w:p>
            <w:pPr>
              <w:snapToGrid w:val="0"/>
              <w:spacing w:line="240" w:lineRule="auto"/>
              <w:ind w:firstLine="0" w:firstLineChars="0"/>
              <w:jc w:val="center"/>
            </w:pPr>
          </w:p>
        </w:tc>
        <w:tc>
          <w:tcPr>
            <w:tcW w:w="921" w:type="pct"/>
            <w:vMerge w:val="continue"/>
            <w:tcBorders>
              <w:tl2br w:val="nil"/>
              <w:tr2bl w:val="nil"/>
            </w:tcBorders>
            <w:shd w:val="clear" w:color="auto" w:fill="auto"/>
            <w:vAlign w:val="center"/>
          </w:tcPr>
          <w:p>
            <w:pPr>
              <w:snapToGrid w:val="0"/>
              <w:spacing w:line="240" w:lineRule="auto"/>
              <w:ind w:firstLine="0" w:firstLineChars="0"/>
              <w:jc w:val="center"/>
            </w:pPr>
          </w:p>
        </w:tc>
        <w:tc>
          <w:tcPr>
            <w:tcW w:w="768"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石油类</w:t>
            </w:r>
          </w:p>
        </w:tc>
        <w:tc>
          <w:tcPr>
            <w:tcW w:w="1205" w:type="pct"/>
            <w:tcBorders>
              <w:tl2br w:val="nil"/>
              <w:tr2bl w:val="nil"/>
            </w:tcBorders>
            <w:shd w:val="clear" w:color="auto" w:fill="auto"/>
            <w:vAlign w:val="center"/>
          </w:tcPr>
          <w:p>
            <w:pPr>
              <w:snapToGrid w:val="0"/>
              <w:spacing w:line="240" w:lineRule="auto"/>
              <w:ind w:firstLine="0" w:firstLineChars="0"/>
              <w:jc w:val="both"/>
              <w:rPr>
                <w:color w:val="000000"/>
                <w:sz w:val="21"/>
              </w:rPr>
            </w:pPr>
            <w:r>
              <w:rPr>
                <w:sz w:val="21"/>
              </w:rPr>
              <w:t>30mg/L ，0.00032t/a</w:t>
            </w:r>
          </w:p>
        </w:tc>
        <w:tc>
          <w:tcPr>
            <w:tcW w:w="1741" w:type="pct"/>
            <w:vMerge w:val="continue"/>
            <w:tcBorders>
              <w:tl2br w:val="nil"/>
              <w:tr2bl w:val="nil"/>
            </w:tcBorders>
            <w:shd w:val="clear" w:color="auto" w:fill="auto"/>
            <w:vAlign w:val="center"/>
          </w:tcPr>
          <w:p>
            <w:pPr>
              <w:snapToGrid w:val="0"/>
              <w:spacing w:line="240" w:lineRule="auto"/>
              <w:ind w:firstLine="0" w:firstLineChars="0"/>
              <w:jc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restar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固体</w:t>
            </w:r>
          </w:p>
          <w:p>
            <w:pPr>
              <w:spacing w:line="240" w:lineRule="auto"/>
              <w:ind w:firstLine="0" w:firstLineChars="0"/>
              <w:jc w:val="center"/>
              <w:rPr>
                <w:color w:val="000000"/>
              </w:rPr>
            </w:pPr>
            <w:r>
              <w:rPr>
                <w:b/>
                <w:color w:val="000000"/>
                <w:sz w:val="21"/>
              </w:rPr>
              <w:t>废物</w:t>
            </w:r>
          </w:p>
        </w:tc>
        <w:tc>
          <w:tcPr>
            <w:tcW w:w="92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员工生活</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生活垃圾</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0.73t/a</w:t>
            </w:r>
          </w:p>
        </w:tc>
        <w:tc>
          <w:tcPr>
            <w:tcW w:w="174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交由环卫部门统一处置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地面冲洗</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油泥</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0.1t/a</w:t>
            </w:r>
          </w:p>
        </w:tc>
        <w:tc>
          <w:tcPr>
            <w:tcW w:w="174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交由益阳绿芯环境资源有限公司进行处置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含油抹布、手套（</w:t>
            </w:r>
            <w:r>
              <w:rPr>
                <w:rFonts w:hint="eastAsia"/>
                <w:color w:val="000000"/>
                <w:kern w:val="0"/>
                <w:sz w:val="21"/>
                <w:lang w:eastAsia="zh-CN"/>
              </w:rPr>
              <w:t>HW49</w:t>
            </w:r>
            <w:r>
              <w:rPr>
                <w:color w:val="000000"/>
                <w:kern w:val="0"/>
                <w:sz w:val="21"/>
              </w:rPr>
              <w:t>）</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抹布、手套</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0.01t/a</w:t>
            </w:r>
          </w:p>
        </w:tc>
        <w:tc>
          <w:tcPr>
            <w:tcW w:w="174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交给有资质的单位处置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362" w:type="pct"/>
            <w:vMerge w:val="continue"/>
            <w:tcBorders>
              <w:tl2br w:val="nil"/>
              <w:tr2bl w:val="nil"/>
            </w:tcBorders>
            <w:shd w:val="clear" w:color="auto" w:fill="auto"/>
            <w:vAlign w:val="center"/>
          </w:tcPr>
          <w:p>
            <w:pPr>
              <w:spacing w:line="240" w:lineRule="auto"/>
              <w:ind w:firstLine="0" w:firstLineChars="0"/>
              <w:jc w:val="both"/>
              <w:rPr>
                <w:sz w:val="20"/>
                <w:szCs w:val="20"/>
              </w:rPr>
            </w:pPr>
          </w:p>
        </w:tc>
        <w:tc>
          <w:tcPr>
            <w:tcW w:w="921" w:type="pct"/>
            <w:tcBorders>
              <w:tl2br w:val="nil"/>
              <w:tr2bl w:val="nil"/>
            </w:tcBorders>
            <w:shd w:val="clear" w:color="auto" w:fill="auto"/>
            <w:vAlign w:val="center"/>
          </w:tcPr>
          <w:p>
            <w:pPr>
              <w:pStyle w:val="22"/>
              <w:autoSpaceDE w:val="0"/>
              <w:autoSpaceDN w:val="0"/>
              <w:spacing w:line="240" w:lineRule="auto"/>
              <w:ind w:firstLine="0" w:firstLineChars="0"/>
              <w:jc w:val="center"/>
              <w:rPr>
                <w:color w:val="000000"/>
                <w:sz w:val="21"/>
              </w:rPr>
            </w:pPr>
            <w:r>
              <w:rPr>
                <w:color w:val="000000"/>
                <w:kern w:val="0"/>
                <w:sz w:val="21"/>
              </w:rPr>
              <w:t>油罐清洗过程（HW08）</w:t>
            </w:r>
          </w:p>
        </w:tc>
        <w:tc>
          <w:tcPr>
            <w:tcW w:w="768"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沉渣</w:t>
            </w:r>
          </w:p>
        </w:tc>
        <w:tc>
          <w:tcPr>
            <w:tcW w:w="1205"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0.04t/</w:t>
            </w:r>
            <w:r>
              <w:rPr>
                <w:rFonts w:hint="eastAsia"/>
                <w:color w:val="000000"/>
                <w:sz w:val="21"/>
              </w:rPr>
              <w:t>次</w:t>
            </w:r>
          </w:p>
        </w:tc>
        <w:tc>
          <w:tcPr>
            <w:tcW w:w="1741" w:type="pct"/>
            <w:tcBorders>
              <w:tl2br w:val="nil"/>
              <w:tr2bl w:val="nil"/>
            </w:tcBorders>
            <w:shd w:val="clear" w:color="auto" w:fill="auto"/>
            <w:vAlign w:val="center"/>
          </w:tcPr>
          <w:p>
            <w:pPr>
              <w:spacing w:line="240" w:lineRule="auto"/>
              <w:ind w:firstLine="0" w:firstLineChars="0"/>
              <w:jc w:val="center"/>
              <w:rPr>
                <w:color w:val="000000"/>
              </w:rPr>
            </w:pPr>
            <w:r>
              <w:rPr>
                <w:color w:val="000000"/>
                <w:sz w:val="21"/>
              </w:rPr>
              <w:t>由清洗油罐的公司当场运走，交给有资质的单位处置，不在站区暂存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tl2br w:val="nil"/>
              <w:tr2bl w:val="nil"/>
            </w:tcBorders>
            <w:shd w:val="clear" w:color="auto" w:fill="auto"/>
            <w:vAlign w:val="center"/>
          </w:tcPr>
          <w:p>
            <w:pPr>
              <w:spacing w:line="240" w:lineRule="auto"/>
              <w:ind w:firstLine="0" w:firstLineChars="0"/>
              <w:jc w:val="center"/>
              <w:rPr>
                <w:b/>
                <w:color w:val="000000"/>
              </w:rPr>
            </w:pPr>
            <w:r>
              <w:rPr>
                <w:b/>
                <w:color w:val="000000"/>
                <w:sz w:val="21"/>
              </w:rPr>
              <w:t>噪声</w:t>
            </w:r>
          </w:p>
        </w:tc>
        <w:tc>
          <w:tcPr>
            <w:tcW w:w="4637" w:type="pct"/>
            <w:gridSpan w:val="4"/>
            <w:tcBorders>
              <w:tl2br w:val="nil"/>
              <w:tr2bl w:val="nil"/>
            </w:tcBorders>
            <w:shd w:val="clear" w:color="auto" w:fill="auto"/>
            <w:vAlign w:val="center"/>
          </w:tcPr>
          <w:p>
            <w:pPr>
              <w:spacing w:line="240" w:lineRule="auto"/>
              <w:ind w:firstLine="0" w:firstLineChars="0"/>
              <w:jc w:val="both"/>
              <w:rPr>
                <w:color w:val="000000"/>
              </w:rPr>
            </w:pPr>
            <w:r>
              <w:rPr>
                <w:color w:val="000000"/>
                <w:sz w:val="21"/>
              </w:rPr>
              <w:t>①项目厂区内来往的机动车行驶产生的交通噪声，噪声值约为60～80dB（A）。②加油机运行时产生的设备噪声，噪声值约为50~60dB（A）。经距离衰减后，厂界噪声达到《工业企业厂界环境噪声排放标准》（GB12348-2008）2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5000" w:type="pct"/>
            <w:gridSpan w:val="5"/>
            <w:tcBorders>
              <w:tl2br w:val="nil"/>
              <w:tr2bl w:val="nil"/>
            </w:tcBorders>
            <w:shd w:val="clear" w:color="auto" w:fill="auto"/>
            <w:vAlign w:val="center"/>
          </w:tcPr>
          <w:p>
            <w:pPr>
              <w:spacing w:line="240" w:lineRule="auto"/>
              <w:ind w:firstLine="0" w:firstLineChars="0"/>
              <w:jc w:val="both"/>
              <w:rPr>
                <w:color w:val="000000"/>
                <w:sz w:val="21"/>
              </w:rPr>
            </w:pPr>
            <w:r>
              <w:rPr>
                <w:color w:val="000000"/>
                <w:sz w:val="21"/>
              </w:rPr>
              <w:t>主要生态影响（不够时可附另页）</w:t>
            </w:r>
          </w:p>
          <w:p>
            <w:pPr>
              <w:spacing w:line="240" w:lineRule="auto"/>
              <w:ind w:firstLine="0" w:firstLineChars="0"/>
              <w:jc w:val="both"/>
              <w:rPr>
                <w:color w:val="000000"/>
                <w:sz w:val="21"/>
              </w:rPr>
            </w:pPr>
            <w:r>
              <w:rPr>
                <w:color w:val="000000"/>
                <w:sz w:val="21"/>
              </w:rPr>
              <w:t xml:space="preserve">本项目位于益阳市桃江县鲊埠回族乡鲊埠社区一里街组，项目现已投产运营，施工建设期短，对周边生态环境影响较小。项目营运期生产废水较少，产生的废气、固体废弃物量较少，对生态环境影响较小。  </w:t>
            </w:r>
          </w:p>
          <w:p>
            <w:pPr>
              <w:spacing w:line="240" w:lineRule="auto"/>
              <w:ind w:firstLine="0" w:firstLineChars="0"/>
              <w:jc w:val="both"/>
              <w:rPr>
                <w:color w:val="000000"/>
                <w:sz w:val="21"/>
              </w:rPr>
            </w:pPr>
          </w:p>
          <w:p>
            <w:pPr>
              <w:pStyle w:val="24"/>
              <w:ind w:firstLine="560"/>
            </w:pPr>
          </w:p>
        </w:tc>
      </w:tr>
    </w:tbl>
    <w:p>
      <w:pPr>
        <w:pStyle w:val="25"/>
        <w:ind w:left="560" w:firstLine="560"/>
        <w:rPr>
          <w:rFonts w:eastAsiaTheme="minorEastAsia"/>
        </w:rPr>
        <w:sectPr>
          <w:pgSz w:w="12240" w:h="15840"/>
          <w:pgMar w:top="1440" w:right="1800" w:bottom="1440" w:left="1800" w:header="720" w:footer="720" w:gutter="0"/>
          <w:cols w:space="425" w:num="1"/>
          <w:docGrid w:type="lines" w:linePitch="312" w:charSpace="0"/>
        </w:sectPr>
      </w:pPr>
    </w:p>
    <w:p>
      <w:pPr>
        <w:pStyle w:val="3"/>
        <w:numPr>
          <w:ilvl w:val="0"/>
          <w:numId w:val="6"/>
        </w:numPr>
        <w:spacing w:before="0" w:after="0" w:line="240" w:lineRule="auto"/>
        <w:ind w:firstLine="0" w:firstLineChars="0"/>
      </w:pPr>
      <w:bookmarkStart w:id="41" w:name="_Toc11395"/>
      <w:bookmarkStart w:id="42" w:name="_Toc3087"/>
      <w:bookmarkStart w:id="43" w:name="_Toc460481180"/>
      <w:r>
        <w:t>环境影响分析</w:t>
      </w:r>
      <w:bookmarkEnd w:id="41"/>
      <w:bookmarkEnd w:id="42"/>
      <w:bookmarkEnd w:id="43"/>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ind w:firstLine="560"/>
              <w:jc w:val="both"/>
              <w:rPr>
                <w:szCs w:val="28"/>
              </w:rPr>
            </w:pPr>
            <w:r>
              <w:t>本项目已经建设投产，且施工期未收到附近居民、企业相关单位的环保投诉，未留下环保遗留污染问题，因此施工期的环境影响不再考虑。</w:t>
            </w:r>
          </w:p>
          <w:p>
            <w:pPr>
              <w:ind w:firstLine="0" w:firstLineChars="0"/>
              <w:jc w:val="both"/>
              <w:rPr>
                <w:b/>
                <w:bCs/>
                <w:szCs w:val="28"/>
              </w:rPr>
            </w:pPr>
            <w:r>
              <w:rPr>
                <w:b/>
                <w:bCs/>
                <w:szCs w:val="28"/>
              </w:rPr>
              <w:t>（一）营运期环境影响分析</w:t>
            </w:r>
          </w:p>
          <w:p>
            <w:pPr>
              <w:pStyle w:val="25"/>
              <w:spacing w:after="0"/>
              <w:ind w:left="0" w:leftChars="0" w:firstLine="0" w:firstLineChars="0"/>
              <w:jc w:val="both"/>
              <w:rPr>
                <w:b/>
                <w:bCs/>
                <w:szCs w:val="28"/>
              </w:rPr>
            </w:pPr>
            <w:r>
              <w:rPr>
                <w:b/>
                <w:bCs/>
                <w:szCs w:val="28"/>
              </w:rPr>
              <w:t>1、大气环境影响分析</w:t>
            </w:r>
          </w:p>
          <w:p>
            <w:pPr>
              <w:ind w:firstLine="560"/>
              <w:jc w:val="both"/>
            </w:pPr>
            <w:r>
              <w:t>本项目建成后，其废气主要来源于卸油、储存、加油过程中挥发的非甲烷总烃、车辆进出站时汽车排放的尾气以及备用柴油发电机废气。</w:t>
            </w:r>
          </w:p>
          <w:p>
            <w:pPr>
              <w:ind w:firstLine="560"/>
              <w:jc w:val="both"/>
            </w:pPr>
            <w:r>
              <w:rPr>
                <w:rFonts w:hint="eastAsia"/>
              </w:rPr>
              <w:t>（1）</w:t>
            </w:r>
            <w:r>
              <w:t>卸油、储存、加油过程中挥发的非甲烷总烃</w:t>
            </w:r>
          </w:p>
          <w:p>
            <w:pPr>
              <w:pStyle w:val="25"/>
              <w:spacing w:after="0"/>
              <w:ind w:left="0" w:leftChars="0" w:firstLine="560"/>
              <w:jc w:val="both"/>
              <w:rPr>
                <w:szCs w:val="28"/>
              </w:rPr>
            </w:pPr>
            <w:r>
              <w:rPr>
                <w:szCs w:val="28"/>
              </w:rPr>
              <w:t>烃类污染物：本项目每年约产生非甲烷总烃</w:t>
            </w:r>
            <w:r>
              <w:rPr>
                <w:rFonts w:hint="eastAsia" w:ascii="Times New Roman" w:hAnsi="Times New Roman" w:cs="Times New Roman"/>
                <w:szCs w:val="28"/>
                <w:lang w:val="en-US" w:eastAsia="zh-CN"/>
              </w:rPr>
              <w:t>28.9044</w:t>
            </w:r>
            <w:r>
              <w:rPr>
                <w:szCs w:val="28"/>
              </w:rPr>
              <w:t>kg/a。</w:t>
            </w:r>
          </w:p>
          <w:p>
            <w:pPr>
              <w:ind w:firstLine="560"/>
              <w:jc w:val="both"/>
            </w:pPr>
            <w:r>
              <w:t>大气环境影响评价等级判定：</w:t>
            </w:r>
          </w:p>
          <w:p>
            <w:pPr>
              <w:ind w:firstLine="560"/>
              <w:jc w:val="both"/>
            </w:pPr>
            <w:r>
              <w:t>项目运营期主要废气污染源</w:t>
            </w:r>
            <w:r>
              <w:rPr>
                <w:rFonts w:hint="eastAsia"/>
              </w:rPr>
              <w:t>为</w:t>
            </w:r>
            <w:r>
              <w:t>无组织排放源，其中排放废气为储油罐大小呼吸挥发的油气</w:t>
            </w:r>
            <w:r>
              <w:rPr>
                <w:rFonts w:hint="eastAsia"/>
              </w:rPr>
              <w:t>和</w:t>
            </w:r>
            <w:r>
              <w:t>加油作业油气。</w:t>
            </w:r>
          </w:p>
          <w:p>
            <w:pPr>
              <w:ind w:firstLine="560"/>
              <w:jc w:val="both"/>
            </w:pPr>
            <w:r>
              <w:t>本项目采用AERSCREEN模式进行大气环境影响等级判定。</w:t>
            </w:r>
          </w:p>
          <w:p>
            <w:pPr>
              <w:ind w:firstLine="560"/>
              <w:jc w:val="both"/>
            </w:pPr>
            <w:r>
              <w:t>①评价因子及评价标准筛选</w:t>
            </w:r>
          </w:p>
          <w:p>
            <w:pPr>
              <w:pStyle w:val="14"/>
              <w:ind w:firstLine="560"/>
              <w:jc w:val="both"/>
            </w:pPr>
            <w:r>
              <w:t>根据工程分析，项目主要大气污染因子为非甲烷总烃，评价采用</w:t>
            </w:r>
            <w:r>
              <w:rPr>
                <w:rFonts w:hint="eastAsia"/>
              </w:rPr>
              <w:t>非甲烷总烃</w:t>
            </w:r>
            <w:r>
              <w:t>表征。污染物评价标准和来源见下表。</w:t>
            </w:r>
          </w:p>
          <w:p>
            <w:pPr>
              <w:pStyle w:val="47"/>
              <w:spacing w:line="240" w:lineRule="auto"/>
              <w:ind w:firstLine="422"/>
              <w:rPr>
                <w:rFonts w:hint="default" w:eastAsia="仿宋"/>
                <w:szCs w:val="21"/>
              </w:rPr>
            </w:pPr>
            <w:r>
              <w:rPr>
                <w:rFonts w:hint="default" w:eastAsia="仿宋"/>
                <w:szCs w:val="21"/>
              </w:rPr>
              <w:t>表7-1  评价因子和评价标准表</w:t>
            </w:r>
          </w:p>
          <w:tbl>
            <w:tblPr>
              <w:tblStyle w:val="26"/>
              <w:tblW w:w="4962"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156"/>
              <w:gridCol w:w="1129"/>
              <w:gridCol w:w="1542"/>
              <w:gridCol w:w="34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63" w:type="pct"/>
                  <w:tcBorders>
                    <w:tl2br w:val="nil"/>
                    <w:tr2bl w:val="nil"/>
                  </w:tcBorders>
                  <w:vAlign w:val="center"/>
                </w:tcPr>
                <w:p>
                  <w:pPr>
                    <w:spacing w:line="240" w:lineRule="auto"/>
                    <w:ind w:firstLine="0" w:firstLineChars="0"/>
                    <w:jc w:val="center"/>
                    <w:rPr>
                      <w:b/>
                      <w:bCs/>
                      <w:sz w:val="21"/>
                    </w:rPr>
                  </w:pPr>
                  <w:r>
                    <w:rPr>
                      <w:b/>
                      <w:bCs/>
                      <w:sz w:val="21"/>
                    </w:rPr>
                    <w:t>污染物名称</w:t>
                  </w:r>
                </w:p>
              </w:tc>
              <w:tc>
                <w:tcPr>
                  <w:tcW w:w="674" w:type="pct"/>
                  <w:tcBorders>
                    <w:tl2br w:val="nil"/>
                    <w:tr2bl w:val="nil"/>
                  </w:tcBorders>
                  <w:vAlign w:val="center"/>
                </w:tcPr>
                <w:p>
                  <w:pPr>
                    <w:spacing w:line="240" w:lineRule="auto"/>
                    <w:ind w:firstLine="0" w:firstLineChars="0"/>
                    <w:jc w:val="center"/>
                    <w:rPr>
                      <w:b/>
                      <w:bCs/>
                      <w:sz w:val="21"/>
                    </w:rPr>
                  </w:pPr>
                  <w:r>
                    <w:rPr>
                      <w:b/>
                      <w:bCs/>
                      <w:sz w:val="21"/>
                    </w:rPr>
                    <w:t>功能区</w:t>
                  </w:r>
                </w:p>
              </w:tc>
              <w:tc>
                <w:tcPr>
                  <w:tcW w:w="658" w:type="pct"/>
                  <w:tcBorders>
                    <w:tl2br w:val="nil"/>
                    <w:tr2bl w:val="nil"/>
                  </w:tcBorders>
                  <w:vAlign w:val="center"/>
                </w:tcPr>
                <w:p>
                  <w:pPr>
                    <w:spacing w:line="240" w:lineRule="auto"/>
                    <w:ind w:firstLine="0" w:firstLineChars="0"/>
                    <w:jc w:val="center"/>
                    <w:rPr>
                      <w:b/>
                      <w:bCs/>
                      <w:sz w:val="21"/>
                    </w:rPr>
                  </w:pPr>
                  <w:r>
                    <w:rPr>
                      <w:b/>
                      <w:bCs/>
                      <w:sz w:val="21"/>
                    </w:rPr>
                    <w:t>取值时间</w:t>
                  </w:r>
                </w:p>
              </w:tc>
              <w:tc>
                <w:tcPr>
                  <w:tcW w:w="899" w:type="pct"/>
                  <w:tcBorders>
                    <w:tl2br w:val="nil"/>
                    <w:tr2bl w:val="nil"/>
                  </w:tcBorders>
                  <w:vAlign w:val="center"/>
                </w:tcPr>
                <w:p>
                  <w:pPr>
                    <w:spacing w:line="240" w:lineRule="auto"/>
                    <w:ind w:firstLine="0" w:firstLineChars="0"/>
                    <w:jc w:val="center"/>
                    <w:rPr>
                      <w:b/>
                      <w:bCs/>
                      <w:sz w:val="21"/>
                    </w:rPr>
                  </w:pPr>
                  <w:r>
                    <w:rPr>
                      <w:b/>
                      <w:bCs/>
                      <w:sz w:val="21"/>
                    </w:rPr>
                    <w:t>标准值(μg/m³)</w:t>
                  </w:r>
                </w:p>
              </w:tc>
              <w:tc>
                <w:tcPr>
                  <w:tcW w:w="2004" w:type="pct"/>
                  <w:tcBorders>
                    <w:tl2br w:val="nil"/>
                    <w:tr2bl w:val="nil"/>
                  </w:tcBorders>
                  <w:vAlign w:val="center"/>
                </w:tcPr>
                <w:p>
                  <w:pPr>
                    <w:spacing w:line="240" w:lineRule="auto"/>
                    <w:ind w:firstLine="0" w:firstLineChars="0"/>
                    <w:jc w:val="center"/>
                    <w:rPr>
                      <w:b/>
                      <w:bCs/>
                      <w:sz w:val="21"/>
                    </w:rPr>
                  </w:pPr>
                  <w:r>
                    <w:rPr>
                      <w:b/>
                      <w:bCs/>
                      <w:sz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763" w:type="pct"/>
                  <w:tcBorders>
                    <w:tl2br w:val="nil"/>
                    <w:tr2bl w:val="nil"/>
                  </w:tcBorders>
                  <w:vAlign w:val="center"/>
                </w:tcPr>
                <w:p>
                  <w:pPr>
                    <w:spacing w:line="240" w:lineRule="auto"/>
                    <w:ind w:firstLine="0" w:firstLineChars="0"/>
                    <w:jc w:val="center"/>
                    <w:rPr>
                      <w:sz w:val="21"/>
                    </w:rPr>
                  </w:pPr>
                  <w:r>
                    <w:rPr>
                      <w:rFonts w:hint="eastAsia"/>
                      <w:b/>
                      <w:bCs/>
                      <w:sz w:val="21"/>
                    </w:rPr>
                    <w:t>非甲烷总烃</w:t>
                  </w:r>
                </w:p>
              </w:tc>
              <w:tc>
                <w:tcPr>
                  <w:tcW w:w="674" w:type="pct"/>
                  <w:tcBorders>
                    <w:tl2br w:val="nil"/>
                    <w:tr2bl w:val="nil"/>
                  </w:tcBorders>
                  <w:vAlign w:val="center"/>
                </w:tcPr>
                <w:p>
                  <w:pPr>
                    <w:spacing w:line="240" w:lineRule="auto"/>
                    <w:ind w:firstLine="0" w:firstLineChars="0"/>
                    <w:jc w:val="center"/>
                    <w:rPr>
                      <w:sz w:val="21"/>
                    </w:rPr>
                  </w:pPr>
                  <w:r>
                    <w:rPr>
                      <w:sz w:val="21"/>
                    </w:rPr>
                    <w:t>二类限区</w:t>
                  </w:r>
                </w:p>
              </w:tc>
              <w:tc>
                <w:tcPr>
                  <w:tcW w:w="658" w:type="pct"/>
                  <w:tcBorders>
                    <w:tl2br w:val="nil"/>
                    <w:tr2bl w:val="nil"/>
                  </w:tcBorders>
                  <w:vAlign w:val="center"/>
                </w:tcPr>
                <w:p>
                  <w:pPr>
                    <w:spacing w:line="240" w:lineRule="auto"/>
                    <w:ind w:firstLine="0" w:firstLineChars="0"/>
                    <w:jc w:val="center"/>
                    <w:rPr>
                      <w:sz w:val="21"/>
                    </w:rPr>
                  </w:pPr>
                  <w:r>
                    <w:rPr>
                      <w:sz w:val="21"/>
                    </w:rPr>
                    <w:t>一小时</w:t>
                  </w:r>
                </w:p>
              </w:tc>
              <w:tc>
                <w:tcPr>
                  <w:tcW w:w="899" w:type="pct"/>
                  <w:tcBorders>
                    <w:tl2br w:val="nil"/>
                    <w:tr2bl w:val="nil"/>
                  </w:tcBorders>
                  <w:vAlign w:val="center"/>
                </w:tcPr>
                <w:p>
                  <w:pPr>
                    <w:spacing w:line="240" w:lineRule="auto"/>
                    <w:ind w:firstLine="0" w:firstLineChars="0"/>
                    <w:jc w:val="center"/>
                    <w:rPr>
                      <w:sz w:val="21"/>
                    </w:rPr>
                  </w:pPr>
                  <w:r>
                    <w:rPr>
                      <w:sz w:val="21"/>
                    </w:rPr>
                    <w:t>2000.0</w:t>
                  </w:r>
                </w:p>
              </w:tc>
              <w:tc>
                <w:tcPr>
                  <w:tcW w:w="2004" w:type="pct"/>
                  <w:tcBorders>
                    <w:tl2br w:val="nil"/>
                    <w:tr2bl w:val="nil"/>
                  </w:tcBorders>
                  <w:vAlign w:val="center"/>
                </w:tcPr>
                <w:p>
                  <w:pPr>
                    <w:spacing w:line="240" w:lineRule="auto"/>
                    <w:ind w:firstLine="0" w:firstLineChars="0"/>
                    <w:jc w:val="center"/>
                    <w:rPr>
                      <w:sz w:val="21"/>
                    </w:rPr>
                  </w:pPr>
                  <w:r>
                    <w:rPr>
                      <w:sz w:val="21"/>
                    </w:rPr>
                    <w:t>《环境空气质量 非甲烷总烃限值》（DB13/1577-2012）二级标准</w:t>
                  </w:r>
                </w:p>
              </w:tc>
            </w:tr>
          </w:tbl>
          <w:p>
            <w:pPr>
              <w:autoSpaceDE w:val="0"/>
              <w:autoSpaceDN w:val="0"/>
              <w:snapToGrid w:val="0"/>
              <w:ind w:firstLine="560"/>
              <w:jc w:val="both"/>
              <w:rPr>
                <w:szCs w:val="28"/>
              </w:rPr>
            </w:pPr>
            <w:r>
              <w:rPr>
                <w:szCs w:val="28"/>
              </w:rPr>
              <w:t>②估算模型参数表</w:t>
            </w:r>
          </w:p>
          <w:p>
            <w:pPr>
              <w:autoSpaceDE w:val="0"/>
              <w:autoSpaceDN w:val="0"/>
              <w:snapToGrid w:val="0"/>
              <w:ind w:firstLine="560"/>
              <w:jc w:val="both"/>
              <w:rPr>
                <w:szCs w:val="28"/>
              </w:rPr>
            </w:pPr>
            <w:r>
              <w:rPr>
                <w:szCs w:val="28"/>
              </w:rPr>
              <w:t>估算模型参数表见下表。</w:t>
            </w:r>
          </w:p>
          <w:p>
            <w:pPr>
              <w:ind w:firstLine="560"/>
              <w:jc w:val="both"/>
            </w:pPr>
          </w:p>
          <w:p>
            <w:pPr>
              <w:ind w:firstLine="560"/>
              <w:jc w:val="both"/>
            </w:pPr>
          </w:p>
          <w:p>
            <w:pPr>
              <w:ind w:firstLine="560"/>
              <w:jc w:val="both"/>
            </w:pPr>
          </w:p>
          <w:p>
            <w:pPr>
              <w:pStyle w:val="47"/>
              <w:spacing w:line="240" w:lineRule="auto"/>
              <w:ind w:firstLine="422"/>
              <w:rPr>
                <w:rFonts w:hint="default" w:eastAsia="仿宋"/>
                <w:szCs w:val="21"/>
              </w:rPr>
            </w:pPr>
          </w:p>
          <w:p>
            <w:pPr>
              <w:pStyle w:val="47"/>
              <w:spacing w:line="240" w:lineRule="auto"/>
              <w:ind w:firstLine="422"/>
              <w:rPr>
                <w:rFonts w:hint="default" w:eastAsia="仿宋"/>
                <w:szCs w:val="21"/>
              </w:rPr>
            </w:pPr>
            <w:r>
              <w:rPr>
                <w:rFonts w:hint="default" w:eastAsia="仿宋"/>
                <w:szCs w:val="21"/>
              </w:rPr>
              <w:t>表7-2  估算模型参数表</w:t>
            </w:r>
          </w:p>
          <w:tbl>
            <w:tblPr>
              <w:tblStyle w:val="26"/>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2900"/>
              <w:gridCol w:w="29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3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 xml:space="preserve">   参数</w:t>
                  </w:r>
                </w:p>
              </w:tc>
              <w:tc>
                <w:tcPr>
                  <w:tcW w:w="1685"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36"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城市/农村选项</w:t>
                  </w: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城市/农村</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农村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36" w:type="pct"/>
                  <w:vMerge w:val="continue"/>
                  <w:tcBorders>
                    <w:tl2br w:val="nil"/>
                    <w:tr2bl w:val="nil"/>
                  </w:tcBorders>
                  <w:shd w:val="clear" w:color="auto" w:fill="auto"/>
                  <w:vAlign w:val="center"/>
                </w:tcPr>
                <w:p>
                  <w:pPr>
                    <w:spacing w:line="240" w:lineRule="auto"/>
                    <w:ind w:firstLine="0" w:firstLineChars="0"/>
                    <w:rPr>
                      <w:b/>
                      <w:bCs/>
                      <w:sz w:val="21"/>
                    </w:rPr>
                  </w:pP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人口数（城市选项时）</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3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最高环境温度/℃</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4</w:t>
                  </w:r>
                  <w:r>
                    <w:rPr>
                      <w:rFonts w:hint="eastAsia"/>
                      <w:sz w:val="21"/>
                    </w:rPr>
                    <w:t>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3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最低环境温度/℃</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-1</w:t>
                  </w:r>
                  <w:r>
                    <w:rPr>
                      <w:rFonts w:hint="eastAsia"/>
                      <w:sz w:val="21"/>
                    </w:rPr>
                    <w:t>1.30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2" w:hRule="atLeast"/>
              </w:trPr>
              <w:tc>
                <w:tcPr>
                  <w:tcW w:w="33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土地类型</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阔叶林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314" w:type="pct"/>
                  <w:gridSpan w:val="2"/>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区域湿度条件</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rFonts w:hint="eastAsia"/>
                      <w:sz w:val="21"/>
                    </w:rPr>
                    <w:t>潮湿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36"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是否考虑地形</w:t>
                  </w: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考虑地形</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可以不考虑地形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36" w:type="pct"/>
                  <w:vMerge w:val="continue"/>
                  <w:tcBorders>
                    <w:tl2br w:val="nil"/>
                    <w:tr2bl w:val="nil"/>
                  </w:tcBorders>
                  <w:shd w:val="clear" w:color="auto" w:fill="auto"/>
                  <w:vAlign w:val="center"/>
                </w:tcPr>
                <w:p>
                  <w:pPr>
                    <w:spacing w:line="240" w:lineRule="auto"/>
                    <w:ind w:firstLine="0" w:firstLineChars="0"/>
                    <w:rPr>
                      <w:b/>
                      <w:bCs/>
                      <w:sz w:val="21"/>
                    </w:rPr>
                  </w:pP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地形数据分辨率/m</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36" w:type="pct"/>
                  <w:vMerge w:val="restar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是否考虑岸线熏烟</w:t>
                  </w: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考虑岸线熏烟</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636" w:type="pct"/>
                  <w:vMerge w:val="continue"/>
                  <w:tcBorders>
                    <w:tl2br w:val="nil"/>
                    <w:tr2bl w:val="nil"/>
                  </w:tcBorders>
                  <w:shd w:val="clear" w:color="auto" w:fill="auto"/>
                  <w:vAlign w:val="center"/>
                </w:tcPr>
                <w:p>
                  <w:pPr>
                    <w:spacing w:line="240" w:lineRule="auto"/>
                    <w:ind w:firstLine="0" w:firstLineChars="0"/>
                    <w:rPr>
                      <w:b/>
                      <w:bCs/>
                      <w:sz w:val="21"/>
                    </w:rPr>
                  </w:pP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岸线距离/km</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36" w:type="pct"/>
                  <w:vMerge w:val="continue"/>
                  <w:tcBorders>
                    <w:tl2br w:val="nil"/>
                    <w:tr2bl w:val="nil"/>
                  </w:tcBorders>
                  <w:shd w:val="clear" w:color="auto" w:fill="auto"/>
                  <w:vAlign w:val="center"/>
                </w:tcPr>
                <w:p>
                  <w:pPr>
                    <w:spacing w:line="240" w:lineRule="auto"/>
                    <w:ind w:firstLine="0" w:firstLineChars="0"/>
                    <w:rPr>
                      <w:b/>
                      <w:bCs/>
                      <w:sz w:val="21"/>
                    </w:rPr>
                  </w:pPr>
                </w:p>
              </w:tc>
              <w:tc>
                <w:tcPr>
                  <w:tcW w:w="1677" w:type="pct"/>
                  <w:tcBorders>
                    <w:tl2br w:val="nil"/>
                    <w:tr2bl w:val="nil"/>
                  </w:tcBorders>
                  <w:shd w:val="clear" w:color="auto" w:fill="auto"/>
                  <w:vAlign w:val="center"/>
                </w:tcPr>
                <w:p>
                  <w:pPr>
                    <w:snapToGrid w:val="0"/>
                    <w:spacing w:line="240" w:lineRule="auto"/>
                    <w:ind w:firstLine="0" w:firstLineChars="0"/>
                    <w:jc w:val="center"/>
                    <w:rPr>
                      <w:b/>
                      <w:bCs/>
                      <w:sz w:val="21"/>
                    </w:rPr>
                  </w:pPr>
                  <w:r>
                    <w:rPr>
                      <w:b/>
                      <w:bCs/>
                      <w:sz w:val="21"/>
                    </w:rPr>
                    <w:t>岸线方向/°</w:t>
                  </w:r>
                </w:p>
              </w:tc>
              <w:tc>
                <w:tcPr>
                  <w:tcW w:w="1685" w:type="pct"/>
                  <w:tcBorders>
                    <w:tl2br w:val="nil"/>
                    <w:tr2bl w:val="nil"/>
                  </w:tcBorders>
                  <w:shd w:val="clear" w:color="auto" w:fill="auto"/>
                  <w:vAlign w:val="center"/>
                </w:tcPr>
                <w:p>
                  <w:pPr>
                    <w:snapToGrid w:val="0"/>
                    <w:spacing w:line="240" w:lineRule="auto"/>
                    <w:ind w:firstLine="0" w:firstLineChars="0"/>
                    <w:jc w:val="center"/>
                    <w:rPr>
                      <w:sz w:val="21"/>
                    </w:rPr>
                  </w:pPr>
                  <w:r>
                    <w:rPr>
                      <w:sz w:val="21"/>
                    </w:rPr>
                    <w:t>/</w:t>
                  </w:r>
                </w:p>
              </w:tc>
            </w:tr>
          </w:tbl>
          <w:p>
            <w:pPr>
              <w:snapToGrid w:val="0"/>
              <w:ind w:firstLine="560"/>
              <w:jc w:val="both"/>
              <w:outlineLvl w:val="4"/>
              <w:rPr>
                <w:szCs w:val="28"/>
              </w:rPr>
            </w:pPr>
            <w:r>
              <w:rPr>
                <w:szCs w:val="28"/>
              </w:rPr>
              <w:t>③污染源调查</w:t>
            </w:r>
          </w:p>
          <w:p>
            <w:pPr>
              <w:pStyle w:val="47"/>
              <w:spacing w:line="240" w:lineRule="auto"/>
              <w:ind w:firstLine="422"/>
              <w:rPr>
                <w:rFonts w:hint="default" w:eastAsia="仿宋"/>
                <w:szCs w:val="21"/>
              </w:rPr>
            </w:pPr>
            <w:r>
              <w:rPr>
                <w:rFonts w:hint="default" w:eastAsia="仿宋"/>
                <w:szCs w:val="21"/>
              </w:rPr>
              <w:t>表7-3  矩形面源参数表</w:t>
            </w:r>
          </w:p>
          <w:tbl>
            <w:tblPr>
              <w:tblStyle w:val="27"/>
              <w:tblW w:w="4997"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885"/>
              <w:gridCol w:w="591"/>
              <w:gridCol w:w="615"/>
              <w:gridCol w:w="728"/>
              <w:gridCol w:w="702"/>
              <w:gridCol w:w="697"/>
              <w:gridCol w:w="697"/>
              <w:gridCol w:w="828"/>
              <w:gridCol w:w="609"/>
              <w:gridCol w:w="17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319"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编号</w:t>
                  </w:r>
                </w:p>
              </w:tc>
              <w:tc>
                <w:tcPr>
                  <w:tcW w:w="512"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名称</w:t>
                  </w:r>
                </w:p>
              </w:tc>
              <w:tc>
                <w:tcPr>
                  <w:tcW w:w="698" w:type="pct"/>
                  <w:gridSpan w:val="2"/>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面源起点坐标/m</w:t>
                  </w:r>
                </w:p>
              </w:tc>
              <w:tc>
                <w:tcPr>
                  <w:tcW w:w="421"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面源海拔高度/m</w:t>
                  </w:r>
                </w:p>
              </w:tc>
              <w:tc>
                <w:tcPr>
                  <w:tcW w:w="406"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面源长度/m</w:t>
                  </w:r>
                </w:p>
              </w:tc>
              <w:tc>
                <w:tcPr>
                  <w:tcW w:w="403"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面源宽度/m</w:t>
                  </w:r>
                </w:p>
              </w:tc>
              <w:tc>
                <w:tcPr>
                  <w:tcW w:w="403"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面源有效排放高度/m</w:t>
                  </w:r>
                </w:p>
              </w:tc>
              <w:tc>
                <w:tcPr>
                  <w:tcW w:w="479"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年排放小时数/h</w:t>
                  </w:r>
                </w:p>
              </w:tc>
              <w:tc>
                <w:tcPr>
                  <w:tcW w:w="352" w:type="pct"/>
                  <w:vMerge w:val="restar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排放工况</w:t>
                  </w:r>
                </w:p>
              </w:tc>
              <w:tc>
                <w:tcPr>
                  <w:tcW w:w="1002"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污染物排放速率/（kg/h）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19"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512"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342" w:type="pc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X</w:t>
                  </w:r>
                </w:p>
              </w:tc>
              <w:tc>
                <w:tcPr>
                  <w:tcW w:w="355" w:type="pc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Y</w:t>
                  </w:r>
                </w:p>
              </w:tc>
              <w:tc>
                <w:tcPr>
                  <w:tcW w:w="421"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406"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403"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403"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479"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352" w:type="pct"/>
                  <w:vMerge w:val="continue"/>
                  <w:tcBorders>
                    <w:tl2br w:val="nil"/>
                    <w:tr2bl w:val="nil"/>
                  </w:tcBorders>
                  <w:shd w:val="clear" w:color="auto" w:fill="auto"/>
                  <w:vAlign w:val="center"/>
                </w:tcPr>
                <w:p>
                  <w:pPr>
                    <w:spacing w:line="240" w:lineRule="auto"/>
                    <w:ind w:firstLine="0" w:firstLineChars="0"/>
                    <w:jc w:val="both"/>
                    <w:rPr>
                      <w:b/>
                      <w:bCs/>
                      <w:sz w:val="21"/>
                    </w:rPr>
                  </w:pPr>
                </w:p>
              </w:tc>
              <w:tc>
                <w:tcPr>
                  <w:tcW w:w="1002" w:type="pct"/>
                  <w:tcBorders>
                    <w:tl2br w:val="nil"/>
                    <w:tr2bl w:val="nil"/>
                  </w:tcBorders>
                  <w:shd w:val="clear" w:color="auto" w:fill="auto"/>
                  <w:vAlign w:val="center"/>
                </w:tcPr>
                <w:p>
                  <w:pPr>
                    <w:widowControl/>
                    <w:snapToGrid w:val="0"/>
                    <w:spacing w:line="240" w:lineRule="auto"/>
                    <w:ind w:firstLine="0" w:firstLineChars="0"/>
                    <w:jc w:val="center"/>
                    <w:rPr>
                      <w:b/>
                      <w:bCs/>
                      <w:sz w:val="21"/>
                    </w:rPr>
                  </w:pPr>
                  <w:r>
                    <w:rPr>
                      <w:b/>
                      <w:bCs/>
                      <w:sz w:val="21"/>
                    </w:rPr>
                    <w:t>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319" w:type="pct"/>
                  <w:tcBorders>
                    <w:tl2br w:val="nil"/>
                    <w:tr2bl w:val="nil"/>
                  </w:tcBorders>
                  <w:shd w:val="clear" w:color="auto" w:fill="auto"/>
                  <w:vAlign w:val="center"/>
                </w:tcPr>
                <w:p>
                  <w:pPr>
                    <w:pStyle w:val="22"/>
                    <w:snapToGrid w:val="0"/>
                    <w:spacing w:line="240" w:lineRule="auto"/>
                    <w:ind w:firstLine="0" w:firstLineChars="0"/>
                    <w:jc w:val="center"/>
                    <w:rPr>
                      <w:b/>
                      <w:bCs/>
                      <w:sz w:val="21"/>
                    </w:rPr>
                  </w:pPr>
                  <w:r>
                    <w:rPr>
                      <w:b/>
                      <w:bCs/>
                      <w:sz w:val="21"/>
                    </w:rPr>
                    <w:t>面源</w:t>
                  </w:r>
                </w:p>
              </w:tc>
              <w:tc>
                <w:tcPr>
                  <w:tcW w:w="512"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rFonts w:hint="eastAsia"/>
                      <w:sz w:val="21"/>
                    </w:rPr>
                    <w:t>加油点</w:t>
                  </w:r>
                </w:p>
              </w:tc>
              <w:tc>
                <w:tcPr>
                  <w:tcW w:w="342"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w:t>
                  </w:r>
                </w:p>
              </w:tc>
              <w:tc>
                <w:tcPr>
                  <w:tcW w:w="355"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w:t>
                  </w:r>
                </w:p>
              </w:tc>
              <w:tc>
                <w:tcPr>
                  <w:tcW w:w="421"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54.0</w:t>
                  </w:r>
                </w:p>
              </w:tc>
              <w:tc>
                <w:tcPr>
                  <w:tcW w:w="406"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30</w:t>
                  </w:r>
                </w:p>
              </w:tc>
              <w:tc>
                <w:tcPr>
                  <w:tcW w:w="403"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30</w:t>
                  </w:r>
                </w:p>
              </w:tc>
              <w:tc>
                <w:tcPr>
                  <w:tcW w:w="403"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15</w:t>
                  </w:r>
                </w:p>
              </w:tc>
              <w:tc>
                <w:tcPr>
                  <w:tcW w:w="479"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8760</w:t>
                  </w:r>
                </w:p>
              </w:tc>
              <w:tc>
                <w:tcPr>
                  <w:tcW w:w="352" w:type="pct"/>
                  <w:tcBorders>
                    <w:tl2br w:val="nil"/>
                    <w:tr2bl w:val="nil"/>
                  </w:tcBorders>
                  <w:shd w:val="clear" w:color="auto" w:fill="auto"/>
                  <w:vAlign w:val="center"/>
                </w:tcPr>
                <w:p>
                  <w:pPr>
                    <w:pStyle w:val="22"/>
                    <w:snapToGrid w:val="0"/>
                    <w:spacing w:line="240" w:lineRule="auto"/>
                    <w:ind w:firstLine="0" w:firstLineChars="0"/>
                    <w:jc w:val="center"/>
                    <w:rPr>
                      <w:sz w:val="21"/>
                    </w:rPr>
                  </w:pPr>
                  <w:r>
                    <w:rPr>
                      <w:sz w:val="21"/>
                    </w:rPr>
                    <w:t>间断</w:t>
                  </w:r>
                </w:p>
              </w:tc>
              <w:tc>
                <w:tcPr>
                  <w:tcW w:w="1002" w:type="pct"/>
                  <w:tcBorders>
                    <w:tl2br w:val="nil"/>
                    <w:tr2bl w:val="nil"/>
                  </w:tcBorders>
                  <w:shd w:val="clear" w:color="auto" w:fill="auto"/>
                  <w:vAlign w:val="center"/>
                </w:tcPr>
                <w:p>
                  <w:pPr>
                    <w:spacing w:line="240" w:lineRule="auto"/>
                    <w:ind w:firstLine="0" w:firstLineChars="0"/>
                    <w:jc w:val="center"/>
                    <w:rPr>
                      <w:sz w:val="21"/>
                    </w:rPr>
                  </w:pPr>
                  <w:r>
                    <w:rPr>
                      <w:sz w:val="21"/>
                    </w:rPr>
                    <w:t>0.00028</w:t>
                  </w:r>
                </w:p>
              </w:tc>
            </w:tr>
          </w:tbl>
          <w:p>
            <w:pPr>
              <w:snapToGrid w:val="0"/>
              <w:ind w:firstLine="560"/>
              <w:jc w:val="both"/>
              <w:outlineLvl w:val="4"/>
              <w:rPr>
                <w:szCs w:val="28"/>
              </w:rPr>
            </w:pPr>
            <w:r>
              <w:rPr>
                <w:szCs w:val="28"/>
              </w:rPr>
              <w:t>④主要污染源估算模型计算结果</w:t>
            </w:r>
          </w:p>
          <w:p>
            <w:pPr>
              <w:ind w:firstLine="560"/>
              <w:jc w:val="both"/>
            </w:pPr>
            <w:r>
              <w:rPr>
                <w:szCs w:val="28"/>
              </w:rPr>
              <w:t>无组织</w:t>
            </w:r>
            <w:r>
              <w:t>面源评价等级判定</w:t>
            </w:r>
          </w:p>
          <w:p>
            <w:pPr>
              <w:pStyle w:val="47"/>
              <w:spacing w:line="240" w:lineRule="auto"/>
              <w:ind w:firstLine="422"/>
              <w:rPr>
                <w:rFonts w:hint="default" w:eastAsia="仿宋"/>
                <w:szCs w:val="21"/>
              </w:rPr>
            </w:pPr>
            <w:r>
              <w:rPr>
                <w:rFonts w:hint="default" w:eastAsia="仿宋"/>
                <w:szCs w:val="21"/>
              </w:rPr>
              <w:t>表7-4 无组织废气排放估算模式计算结果一览表</w:t>
            </w:r>
          </w:p>
          <w:tbl>
            <w:tblPr>
              <w:tblStyle w:val="26"/>
              <w:tblW w:w="4998"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08"/>
              <w:gridCol w:w="2644"/>
              <w:gridCol w:w="24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1" w:type="pct"/>
                  <w:vMerge w:val="restart"/>
                  <w:tcBorders>
                    <w:tl2br w:val="nil"/>
                    <w:tr2bl w:val="nil"/>
                  </w:tcBorders>
                  <w:vAlign w:val="center"/>
                </w:tcPr>
                <w:p>
                  <w:pPr>
                    <w:spacing w:line="240" w:lineRule="auto"/>
                    <w:ind w:firstLine="0" w:firstLineChars="0"/>
                    <w:jc w:val="center"/>
                    <w:rPr>
                      <w:b/>
                      <w:bCs/>
                      <w:sz w:val="21"/>
                    </w:rPr>
                  </w:pPr>
                  <w:r>
                    <w:rPr>
                      <w:b/>
                      <w:bCs/>
                      <w:sz w:val="21"/>
                    </w:rPr>
                    <w:t>下风向距离</w:t>
                  </w:r>
                </w:p>
              </w:tc>
              <w:tc>
                <w:tcPr>
                  <w:tcW w:w="2968" w:type="pct"/>
                  <w:gridSpan w:val="2"/>
                  <w:tcBorders>
                    <w:tl2br w:val="nil"/>
                    <w:tr2bl w:val="nil"/>
                  </w:tcBorders>
                  <w:vAlign w:val="center"/>
                </w:tcPr>
                <w:p>
                  <w:pPr>
                    <w:spacing w:line="240" w:lineRule="auto"/>
                    <w:ind w:firstLine="462"/>
                    <w:jc w:val="center"/>
                    <w:rPr>
                      <w:b/>
                      <w:bCs/>
                      <w:sz w:val="21"/>
                    </w:rPr>
                  </w:pPr>
                  <w:r>
                    <w:rPr>
                      <w:rFonts w:hint="eastAsia"/>
                      <w:b/>
                      <w:bCs/>
                      <w:sz w:val="23"/>
                      <w:szCs w:val="23"/>
                    </w:rPr>
                    <w:t>加油点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1" w:type="pct"/>
                  <w:vMerge w:val="continue"/>
                  <w:tcBorders>
                    <w:tl2br w:val="nil"/>
                    <w:tr2bl w:val="nil"/>
                  </w:tcBorders>
                  <w:vAlign w:val="center"/>
                </w:tcPr>
                <w:p>
                  <w:pPr>
                    <w:spacing w:line="240" w:lineRule="auto"/>
                    <w:ind w:firstLine="0" w:firstLineChars="0"/>
                    <w:jc w:val="center"/>
                    <w:rPr>
                      <w:b/>
                      <w:bCs/>
                      <w:sz w:val="21"/>
                    </w:rPr>
                  </w:pPr>
                </w:p>
              </w:tc>
              <w:tc>
                <w:tcPr>
                  <w:tcW w:w="1530" w:type="pct"/>
                  <w:tcBorders>
                    <w:tl2br w:val="nil"/>
                    <w:tr2bl w:val="nil"/>
                  </w:tcBorders>
                  <w:vAlign w:val="center"/>
                </w:tcPr>
                <w:p>
                  <w:pPr>
                    <w:spacing w:line="240" w:lineRule="auto"/>
                    <w:ind w:firstLine="0" w:firstLineChars="0"/>
                    <w:jc w:val="center"/>
                    <w:rPr>
                      <w:b/>
                      <w:bCs/>
                      <w:sz w:val="21"/>
                    </w:rPr>
                  </w:pPr>
                  <w:r>
                    <w:rPr>
                      <w:b/>
                      <w:bCs/>
                      <w:sz w:val="21"/>
                    </w:rPr>
                    <w:t>浓度(μg/m³)</w:t>
                  </w:r>
                </w:p>
              </w:tc>
              <w:tc>
                <w:tcPr>
                  <w:tcW w:w="1438" w:type="pct"/>
                  <w:tcBorders>
                    <w:tl2br w:val="nil"/>
                    <w:tr2bl w:val="nil"/>
                  </w:tcBorders>
                  <w:vAlign w:val="center"/>
                </w:tcPr>
                <w:p>
                  <w:pPr>
                    <w:spacing w:line="240" w:lineRule="auto"/>
                    <w:ind w:firstLine="0" w:firstLineChars="0"/>
                    <w:jc w:val="center"/>
                    <w:rPr>
                      <w:b/>
                      <w:bCs/>
                      <w:sz w:val="21"/>
                    </w:rPr>
                  </w:pPr>
                  <w:r>
                    <w:rPr>
                      <w:b/>
                      <w:bCs/>
                      <w:sz w:val="21"/>
                    </w:rPr>
                    <w:t>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50.0</w:t>
                  </w:r>
                </w:p>
              </w:tc>
              <w:tc>
                <w:tcPr>
                  <w:tcW w:w="2634" w:type="dxa"/>
                  <w:tcBorders>
                    <w:tl2br w:val="nil"/>
                    <w:tr2bl w:val="nil"/>
                  </w:tcBorders>
                  <w:vAlign w:val="center"/>
                </w:tcPr>
                <w:p>
                  <w:pPr>
                    <w:spacing w:line="240" w:lineRule="auto"/>
                    <w:ind w:firstLine="420"/>
                    <w:jc w:val="center"/>
                    <w:rPr>
                      <w:sz w:val="21"/>
                    </w:rPr>
                  </w:pPr>
                  <w:r>
                    <w:rPr>
                      <w:sz w:val="21"/>
                    </w:rPr>
                    <w:t>0.1165</w:t>
                  </w:r>
                </w:p>
              </w:tc>
              <w:tc>
                <w:tcPr>
                  <w:tcW w:w="2476" w:type="dxa"/>
                  <w:tcBorders>
                    <w:tl2br w:val="nil"/>
                    <w:tr2bl w:val="nil"/>
                  </w:tcBorders>
                  <w:vAlign w:val="center"/>
                </w:tcPr>
                <w:p>
                  <w:pPr>
                    <w:spacing w:line="240" w:lineRule="auto"/>
                    <w:ind w:firstLine="420"/>
                    <w:jc w:val="center"/>
                    <w:rPr>
                      <w:sz w:val="21"/>
                    </w:rPr>
                  </w:pPr>
                  <w:r>
                    <w:rPr>
                      <w:sz w:val="21"/>
                    </w:rPr>
                    <w:t>0.0058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100.0</w:t>
                  </w:r>
                </w:p>
              </w:tc>
              <w:tc>
                <w:tcPr>
                  <w:tcW w:w="2634" w:type="dxa"/>
                  <w:tcBorders>
                    <w:tl2br w:val="nil"/>
                    <w:tr2bl w:val="nil"/>
                  </w:tcBorders>
                  <w:vAlign w:val="center"/>
                </w:tcPr>
                <w:p>
                  <w:pPr>
                    <w:spacing w:line="240" w:lineRule="auto"/>
                    <w:ind w:firstLine="420"/>
                    <w:jc w:val="center"/>
                    <w:rPr>
                      <w:sz w:val="21"/>
                    </w:rPr>
                  </w:pPr>
                  <w:r>
                    <w:rPr>
                      <w:sz w:val="21"/>
                    </w:rPr>
                    <w:t>0.1243</w:t>
                  </w:r>
                </w:p>
              </w:tc>
              <w:tc>
                <w:tcPr>
                  <w:tcW w:w="2476" w:type="dxa"/>
                  <w:tcBorders>
                    <w:tl2br w:val="nil"/>
                    <w:tr2bl w:val="nil"/>
                  </w:tcBorders>
                  <w:vAlign w:val="center"/>
                </w:tcPr>
                <w:p>
                  <w:pPr>
                    <w:spacing w:line="240" w:lineRule="auto"/>
                    <w:ind w:firstLine="420"/>
                    <w:jc w:val="center"/>
                    <w:rPr>
                      <w:sz w:val="21"/>
                    </w:rPr>
                  </w:pPr>
                  <w:r>
                    <w:rPr>
                      <w:sz w:val="21"/>
                    </w:rPr>
                    <w:t>0.0062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200.0</w:t>
                  </w:r>
                </w:p>
              </w:tc>
              <w:tc>
                <w:tcPr>
                  <w:tcW w:w="2634" w:type="dxa"/>
                  <w:tcBorders>
                    <w:tl2br w:val="nil"/>
                    <w:tr2bl w:val="nil"/>
                  </w:tcBorders>
                  <w:vAlign w:val="center"/>
                </w:tcPr>
                <w:p>
                  <w:pPr>
                    <w:spacing w:line="240" w:lineRule="auto"/>
                    <w:ind w:firstLine="420"/>
                    <w:jc w:val="center"/>
                    <w:rPr>
                      <w:sz w:val="21"/>
                    </w:rPr>
                  </w:pPr>
                  <w:r>
                    <w:rPr>
                      <w:sz w:val="21"/>
                    </w:rPr>
                    <w:t>0.0803</w:t>
                  </w:r>
                </w:p>
              </w:tc>
              <w:tc>
                <w:tcPr>
                  <w:tcW w:w="2476" w:type="dxa"/>
                  <w:tcBorders>
                    <w:tl2br w:val="nil"/>
                    <w:tr2bl w:val="nil"/>
                  </w:tcBorders>
                  <w:vAlign w:val="center"/>
                </w:tcPr>
                <w:p>
                  <w:pPr>
                    <w:spacing w:line="240" w:lineRule="auto"/>
                    <w:ind w:firstLine="420"/>
                    <w:jc w:val="center"/>
                    <w:rPr>
                      <w:sz w:val="21"/>
                    </w:rPr>
                  </w:pPr>
                  <w:r>
                    <w:rPr>
                      <w:sz w:val="21"/>
                    </w:rPr>
                    <w:t>0.0040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300.0</w:t>
                  </w:r>
                </w:p>
              </w:tc>
              <w:tc>
                <w:tcPr>
                  <w:tcW w:w="2634" w:type="dxa"/>
                  <w:tcBorders>
                    <w:tl2br w:val="nil"/>
                    <w:tr2bl w:val="nil"/>
                  </w:tcBorders>
                  <w:vAlign w:val="center"/>
                </w:tcPr>
                <w:p>
                  <w:pPr>
                    <w:spacing w:line="240" w:lineRule="auto"/>
                    <w:ind w:firstLine="420"/>
                    <w:jc w:val="center"/>
                    <w:rPr>
                      <w:sz w:val="21"/>
                    </w:rPr>
                  </w:pPr>
                  <w:r>
                    <w:rPr>
                      <w:sz w:val="21"/>
                    </w:rPr>
                    <w:t>0.0599</w:t>
                  </w:r>
                </w:p>
              </w:tc>
              <w:tc>
                <w:tcPr>
                  <w:tcW w:w="2476" w:type="dxa"/>
                  <w:tcBorders>
                    <w:tl2br w:val="nil"/>
                    <w:tr2bl w:val="nil"/>
                  </w:tcBorders>
                  <w:vAlign w:val="center"/>
                </w:tcPr>
                <w:p>
                  <w:pPr>
                    <w:spacing w:line="240" w:lineRule="auto"/>
                    <w:ind w:firstLine="420"/>
                    <w:jc w:val="center"/>
                    <w:rPr>
                      <w:sz w:val="21"/>
                    </w:rPr>
                  </w:pPr>
                  <w:r>
                    <w:rPr>
                      <w:sz w:val="21"/>
                    </w:rPr>
                    <w:t>0.0030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400.0</w:t>
                  </w:r>
                </w:p>
              </w:tc>
              <w:tc>
                <w:tcPr>
                  <w:tcW w:w="2634" w:type="dxa"/>
                  <w:tcBorders>
                    <w:tl2br w:val="nil"/>
                    <w:tr2bl w:val="nil"/>
                  </w:tcBorders>
                  <w:vAlign w:val="center"/>
                </w:tcPr>
                <w:p>
                  <w:pPr>
                    <w:spacing w:line="240" w:lineRule="auto"/>
                    <w:ind w:firstLine="420"/>
                    <w:jc w:val="center"/>
                    <w:rPr>
                      <w:sz w:val="21"/>
                    </w:rPr>
                  </w:pPr>
                  <w:r>
                    <w:rPr>
                      <w:sz w:val="21"/>
                    </w:rPr>
                    <w:t>0.0488</w:t>
                  </w:r>
                </w:p>
              </w:tc>
              <w:tc>
                <w:tcPr>
                  <w:tcW w:w="2476" w:type="dxa"/>
                  <w:tcBorders>
                    <w:tl2br w:val="nil"/>
                    <w:tr2bl w:val="nil"/>
                  </w:tcBorders>
                  <w:vAlign w:val="center"/>
                </w:tcPr>
                <w:p>
                  <w:pPr>
                    <w:spacing w:line="240" w:lineRule="auto"/>
                    <w:ind w:firstLine="420"/>
                    <w:jc w:val="center"/>
                    <w:rPr>
                      <w:sz w:val="21"/>
                    </w:rPr>
                  </w:pPr>
                  <w:r>
                    <w:rPr>
                      <w:sz w:val="21"/>
                    </w:rPr>
                    <w:t>0.0024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500.0</w:t>
                  </w:r>
                </w:p>
              </w:tc>
              <w:tc>
                <w:tcPr>
                  <w:tcW w:w="2634" w:type="dxa"/>
                  <w:tcBorders>
                    <w:tl2br w:val="nil"/>
                    <w:tr2bl w:val="nil"/>
                  </w:tcBorders>
                  <w:vAlign w:val="center"/>
                </w:tcPr>
                <w:p>
                  <w:pPr>
                    <w:spacing w:line="240" w:lineRule="auto"/>
                    <w:ind w:firstLine="420"/>
                    <w:jc w:val="center"/>
                    <w:rPr>
                      <w:sz w:val="21"/>
                    </w:rPr>
                  </w:pPr>
                  <w:r>
                    <w:rPr>
                      <w:sz w:val="21"/>
                    </w:rPr>
                    <w:t>0.0416</w:t>
                  </w:r>
                </w:p>
              </w:tc>
              <w:tc>
                <w:tcPr>
                  <w:tcW w:w="2476" w:type="dxa"/>
                  <w:tcBorders>
                    <w:tl2br w:val="nil"/>
                    <w:tr2bl w:val="nil"/>
                  </w:tcBorders>
                  <w:vAlign w:val="center"/>
                </w:tcPr>
                <w:p>
                  <w:pPr>
                    <w:spacing w:line="240" w:lineRule="auto"/>
                    <w:ind w:firstLine="420"/>
                    <w:jc w:val="center"/>
                    <w:rPr>
                      <w:sz w:val="21"/>
                    </w:rPr>
                  </w:pPr>
                  <w:r>
                    <w:rPr>
                      <w:sz w:val="21"/>
                    </w:rPr>
                    <w:t>0.0021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600.0</w:t>
                  </w:r>
                </w:p>
              </w:tc>
              <w:tc>
                <w:tcPr>
                  <w:tcW w:w="2634" w:type="dxa"/>
                  <w:tcBorders>
                    <w:tl2br w:val="nil"/>
                    <w:tr2bl w:val="nil"/>
                  </w:tcBorders>
                  <w:vAlign w:val="center"/>
                </w:tcPr>
                <w:p>
                  <w:pPr>
                    <w:spacing w:line="240" w:lineRule="auto"/>
                    <w:ind w:firstLine="420"/>
                    <w:jc w:val="center"/>
                    <w:rPr>
                      <w:sz w:val="21"/>
                    </w:rPr>
                  </w:pPr>
                  <w:r>
                    <w:rPr>
                      <w:sz w:val="21"/>
                    </w:rPr>
                    <w:t>0.0365</w:t>
                  </w:r>
                </w:p>
              </w:tc>
              <w:tc>
                <w:tcPr>
                  <w:tcW w:w="2476" w:type="dxa"/>
                  <w:tcBorders>
                    <w:tl2br w:val="nil"/>
                    <w:tr2bl w:val="nil"/>
                  </w:tcBorders>
                  <w:vAlign w:val="center"/>
                </w:tcPr>
                <w:p>
                  <w:pPr>
                    <w:spacing w:line="240" w:lineRule="auto"/>
                    <w:ind w:firstLine="420"/>
                    <w:jc w:val="center"/>
                    <w:rPr>
                      <w:sz w:val="21"/>
                    </w:rPr>
                  </w:pPr>
                  <w:r>
                    <w:rPr>
                      <w:sz w:val="21"/>
                    </w:rPr>
                    <w:t>0.0018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700.0</w:t>
                  </w:r>
                </w:p>
              </w:tc>
              <w:tc>
                <w:tcPr>
                  <w:tcW w:w="2634" w:type="dxa"/>
                  <w:tcBorders>
                    <w:tl2br w:val="nil"/>
                    <w:tr2bl w:val="nil"/>
                  </w:tcBorders>
                  <w:vAlign w:val="center"/>
                </w:tcPr>
                <w:p>
                  <w:pPr>
                    <w:spacing w:line="240" w:lineRule="auto"/>
                    <w:ind w:firstLine="420"/>
                    <w:jc w:val="center"/>
                    <w:rPr>
                      <w:sz w:val="21"/>
                    </w:rPr>
                  </w:pPr>
                  <w:r>
                    <w:rPr>
                      <w:sz w:val="21"/>
                    </w:rPr>
                    <w:t>0.0328</w:t>
                  </w:r>
                </w:p>
              </w:tc>
              <w:tc>
                <w:tcPr>
                  <w:tcW w:w="2476" w:type="dxa"/>
                  <w:tcBorders>
                    <w:tl2br w:val="nil"/>
                    <w:tr2bl w:val="nil"/>
                  </w:tcBorders>
                  <w:vAlign w:val="center"/>
                </w:tcPr>
                <w:p>
                  <w:pPr>
                    <w:spacing w:line="240" w:lineRule="auto"/>
                    <w:ind w:firstLine="420"/>
                    <w:jc w:val="center"/>
                    <w:rPr>
                      <w:sz w:val="21"/>
                    </w:rPr>
                  </w:pPr>
                  <w:r>
                    <w:rPr>
                      <w:sz w:val="21"/>
                    </w:rPr>
                    <w:t>0.0016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800.0</w:t>
                  </w:r>
                </w:p>
              </w:tc>
              <w:tc>
                <w:tcPr>
                  <w:tcW w:w="2634" w:type="dxa"/>
                  <w:tcBorders>
                    <w:tl2br w:val="nil"/>
                    <w:tr2bl w:val="nil"/>
                  </w:tcBorders>
                  <w:vAlign w:val="center"/>
                </w:tcPr>
                <w:p>
                  <w:pPr>
                    <w:spacing w:line="240" w:lineRule="auto"/>
                    <w:ind w:firstLine="420"/>
                    <w:jc w:val="center"/>
                    <w:rPr>
                      <w:sz w:val="21"/>
                    </w:rPr>
                  </w:pPr>
                  <w:r>
                    <w:rPr>
                      <w:sz w:val="21"/>
                    </w:rPr>
                    <w:t>0.0298</w:t>
                  </w:r>
                </w:p>
              </w:tc>
              <w:tc>
                <w:tcPr>
                  <w:tcW w:w="2476" w:type="dxa"/>
                  <w:tcBorders>
                    <w:tl2br w:val="nil"/>
                    <w:tr2bl w:val="nil"/>
                  </w:tcBorders>
                  <w:vAlign w:val="center"/>
                </w:tcPr>
                <w:p>
                  <w:pPr>
                    <w:spacing w:line="240" w:lineRule="auto"/>
                    <w:ind w:firstLine="420"/>
                    <w:jc w:val="center"/>
                    <w:rPr>
                      <w:sz w:val="21"/>
                    </w:rPr>
                  </w:pPr>
                  <w:r>
                    <w:rPr>
                      <w:sz w:val="21"/>
                    </w:rPr>
                    <w:t>0.0015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900.0</w:t>
                  </w:r>
                </w:p>
              </w:tc>
              <w:tc>
                <w:tcPr>
                  <w:tcW w:w="2634" w:type="dxa"/>
                  <w:tcBorders>
                    <w:tl2br w:val="nil"/>
                    <w:tr2bl w:val="nil"/>
                  </w:tcBorders>
                  <w:vAlign w:val="center"/>
                </w:tcPr>
                <w:p>
                  <w:pPr>
                    <w:spacing w:line="240" w:lineRule="auto"/>
                    <w:ind w:firstLine="420"/>
                    <w:jc w:val="center"/>
                    <w:rPr>
                      <w:sz w:val="21"/>
                    </w:rPr>
                  </w:pPr>
                  <w:r>
                    <w:rPr>
                      <w:sz w:val="21"/>
                    </w:rPr>
                    <w:t>0.0274</w:t>
                  </w:r>
                </w:p>
              </w:tc>
              <w:tc>
                <w:tcPr>
                  <w:tcW w:w="2476" w:type="dxa"/>
                  <w:tcBorders>
                    <w:tl2br w:val="nil"/>
                    <w:tr2bl w:val="nil"/>
                  </w:tcBorders>
                  <w:vAlign w:val="center"/>
                </w:tcPr>
                <w:p>
                  <w:pPr>
                    <w:spacing w:line="240" w:lineRule="auto"/>
                    <w:ind w:firstLine="420"/>
                    <w:jc w:val="center"/>
                    <w:rPr>
                      <w:sz w:val="21"/>
                    </w:rPr>
                  </w:pPr>
                  <w:r>
                    <w:rPr>
                      <w:sz w:val="21"/>
                    </w:rPr>
                    <w:t>0.0014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1000.0</w:t>
                  </w:r>
                </w:p>
              </w:tc>
              <w:tc>
                <w:tcPr>
                  <w:tcW w:w="2634" w:type="dxa"/>
                  <w:tcBorders>
                    <w:tl2br w:val="nil"/>
                    <w:tr2bl w:val="nil"/>
                  </w:tcBorders>
                  <w:vAlign w:val="center"/>
                </w:tcPr>
                <w:p>
                  <w:pPr>
                    <w:spacing w:line="240" w:lineRule="auto"/>
                    <w:ind w:firstLine="420"/>
                    <w:jc w:val="center"/>
                    <w:rPr>
                      <w:sz w:val="21"/>
                    </w:rPr>
                  </w:pPr>
                  <w:r>
                    <w:rPr>
                      <w:sz w:val="21"/>
                    </w:rPr>
                    <w:t>0.0255</w:t>
                  </w:r>
                </w:p>
              </w:tc>
              <w:tc>
                <w:tcPr>
                  <w:tcW w:w="2476" w:type="dxa"/>
                  <w:tcBorders>
                    <w:tl2br w:val="nil"/>
                    <w:tr2bl w:val="nil"/>
                  </w:tcBorders>
                  <w:vAlign w:val="center"/>
                </w:tcPr>
                <w:p>
                  <w:pPr>
                    <w:spacing w:line="240" w:lineRule="auto"/>
                    <w:ind w:firstLine="420"/>
                    <w:jc w:val="center"/>
                    <w:rPr>
                      <w:sz w:val="21"/>
                    </w:rPr>
                  </w:pPr>
                  <w:r>
                    <w:rPr>
                      <w:sz w:val="21"/>
                    </w:rPr>
                    <w:t>0.0013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1200.0</w:t>
                  </w:r>
                </w:p>
              </w:tc>
              <w:tc>
                <w:tcPr>
                  <w:tcW w:w="2634" w:type="dxa"/>
                  <w:tcBorders>
                    <w:tl2br w:val="nil"/>
                    <w:tr2bl w:val="nil"/>
                  </w:tcBorders>
                  <w:vAlign w:val="center"/>
                </w:tcPr>
                <w:p>
                  <w:pPr>
                    <w:spacing w:line="240" w:lineRule="auto"/>
                    <w:ind w:firstLine="420"/>
                    <w:jc w:val="center"/>
                    <w:rPr>
                      <w:sz w:val="21"/>
                    </w:rPr>
                  </w:pPr>
                  <w:r>
                    <w:rPr>
                      <w:sz w:val="21"/>
                    </w:rPr>
                    <w:t>0.0224</w:t>
                  </w:r>
                </w:p>
              </w:tc>
              <w:tc>
                <w:tcPr>
                  <w:tcW w:w="2476" w:type="dxa"/>
                  <w:tcBorders>
                    <w:tl2br w:val="nil"/>
                    <w:tr2bl w:val="nil"/>
                  </w:tcBorders>
                  <w:vAlign w:val="center"/>
                </w:tcPr>
                <w:p>
                  <w:pPr>
                    <w:spacing w:line="240" w:lineRule="auto"/>
                    <w:ind w:firstLine="420"/>
                    <w:jc w:val="center"/>
                    <w:rPr>
                      <w:sz w:val="21"/>
                    </w:rPr>
                  </w:pPr>
                  <w:r>
                    <w:rPr>
                      <w:sz w:val="21"/>
                    </w:rPr>
                    <w:t>0.0011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1400.0</w:t>
                  </w:r>
                </w:p>
              </w:tc>
              <w:tc>
                <w:tcPr>
                  <w:tcW w:w="2634" w:type="dxa"/>
                  <w:tcBorders>
                    <w:tl2br w:val="nil"/>
                    <w:tr2bl w:val="nil"/>
                  </w:tcBorders>
                  <w:vAlign w:val="center"/>
                </w:tcPr>
                <w:p>
                  <w:pPr>
                    <w:spacing w:line="240" w:lineRule="auto"/>
                    <w:ind w:firstLine="420"/>
                    <w:jc w:val="center"/>
                    <w:rPr>
                      <w:sz w:val="21"/>
                    </w:rPr>
                  </w:pPr>
                  <w:r>
                    <w:rPr>
                      <w:sz w:val="21"/>
                    </w:rPr>
                    <w:t>0.0201</w:t>
                  </w:r>
                </w:p>
              </w:tc>
              <w:tc>
                <w:tcPr>
                  <w:tcW w:w="2476" w:type="dxa"/>
                  <w:tcBorders>
                    <w:tl2br w:val="nil"/>
                    <w:tr2bl w:val="nil"/>
                  </w:tcBorders>
                  <w:vAlign w:val="center"/>
                </w:tcPr>
                <w:p>
                  <w:pPr>
                    <w:spacing w:line="240" w:lineRule="auto"/>
                    <w:ind w:firstLine="420"/>
                    <w:jc w:val="center"/>
                    <w:rPr>
                      <w:sz w:val="21"/>
                    </w:rPr>
                  </w:pPr>
                  <w:r>
                    <w:rPr>
                      <w:sz w:val="21"/>
                    </w:rPr>
                    <w:t>0.0010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1600.0</w:t>
                  </w:r>
                </w:p>
              </w:tc>
              <w:tc>
                <w:tcPr>
                  <w:tcW w:w="2634" w:type="dxa"/>
                  <w:tcBorders>
                    <w:tl2br w:val="nil"/>
                    <w:tr2bl w:val="nil"/>
                  </w:tcBorders>
                  <w:vAlign w:val="center"/>
                </w:tcPr>
                <w:p>
                  <w:pPr>
                    <w:spacing w:line="240" w:lineRule="auto"/>
                    <w:ind w:firstLine="420"/>
                    <w:jc w:val="center"/>
                    <w:rPr>
                      <w:sz w:val="21"/>
                    </w:rPr>
                  </w:pPr>
                  <w:r>
                    <w:rPr>
                      <w:sz w:val="21"/>
                    </w:rPr>
                    <w:t>0.0183</w:t>
                  </w:r>
                </w:p>
              </w:tc>
              <w:tc>
                <w:tcPr>
                  <w:tcW w:w="2476" w:type="dxa"/>
                  <w:tcBorders>
                    <w:tl2br w:val="nil"/>
                    <w:tr2bl w:val="nil"/>
                  </w:tcBorders>
                  <w:vAlign w:val="center"/>
                </w:tcPr>
                <w:p>
                  <w:pPr>
                    <w:spacing w:line="240" w:lineRule="auto"/>
                    <w:ind w:firstLine="420"/>
                    <w:jc w:val="center"/>
                    <w:rPr>
                      <w:sz w:val="21"/>
                    </w:rPr>
                  </w:pPr>
                  <w:r>
                    <w:rPr>
                      <w:sz w:val="21"/>
                    </w:rPr>
                    <w:t>0.0009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1800.0</w:t>
                  </w:r>
                </w:p>
              </w:tc>
              <w:tc>
                <w:tcPr>
                  <w:tcW w:w="2634" w:type="dxa"/>
                  <w:tcBorders>
                    <w:tl2br w:val="nil"/>
                    <w:tr2bl w:val="nil"/>
                  </w:tcBorders>
                  <w:vAlign w:val="center"/>
                </w:tcPr>
                <w:p>
                  <w:pPr>
                    <w:spacing w:line="240" w:lineRule="auto"/>
                    <w:ind w:firstLine="420"/>
                    <w:jc w:val="center"/>
                    <w:rPr>
                      <w:sz w:val="21"/>
                    </w:rPr>
                  </w:pPr>
                  <w:r>
                    <w:rPr>
                      <w:sz w:val="21"/>
                    </w:rPr>
                    <w:t>0.0168</w:t>
                  </w:r>
                </w:p>
              </w:tc>
              <w:tc>
                <w:tcPr>
                  <w:tcW w:w="2476" w:type="dxa"/>
                  <w:tcBorders>
                    <w:tl2br w:val="nil"/>
                    <w:tr2bl w:val="nil"/>
                  </w:tcBorders>
                  <w:vAlign w:val="center"/>
                </w:tcPr>
                <w:p>
                  <w:pPr>
                    <w:spacing w:line="240" w:lineRule="auto"/>
                    <w:ind w:firstLine="420"/>
                    <w:jc w:val="center"/>
                    <w:rPr>
                      <w:sz w:val="21"/>
                    </w:rPr>
                  </w:pPr>
                  <w:r>
                    <w:rPr>
                      <w:sz w:val="21"/>
                    </w:rPr>
                    <w:t>0.0008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2000.0</w:t>
                  </w:r>
                </w:p>
              </w:tc>
              <w:tc>
                <w:tcPr>
                  <w:tcW w:w="2634" w:type="dxa"/>
                  <w:tcBorders>
                    <w:tl2br w:val="nil"/>
                    <w:tr2bl w:val="nil"/>
                  </w:tcBorders>
                  <w:vAlign w:val="center"/>
                </w:tcPr>
                <w:p>
                  <w:pPr>
                    <w:spacing w:line="240" w:lineRule="auto"/>
                    <w:ind w:firstLine="420"/>
                    <w:jc w:val="center"/>
                    <w:rPr>
                      <w:sz w:val="21"/>
                    </w:rPr>
                  </w:pPr>
                  <w:r>
                    <w:rPr>
                      <w:sz w:val="21"/>
                    </w:rPr>
                    <w:t>0.0156</w:t>
                  </w:r>
                </w:p>
              </w:tc>
              <w:tc>
                <w:tcPr>
                  <w:tcW w:w="2476" w:type="dxa"/>
                  <w:tcBorders>
                    <w:tl2br w:val="nil"/>
                    <w:tr2bl w:val="nil"/>
                  </w:tcBorders>
                  <w:vAlign w:val="center"/>
                </w:tcPr>
                <w:p>
                  <w:pPr>
                    <w:spacing w:line="240" w:lineRule="auto"/>
                    <w:ind w:firstLine="420"/>
                    <w:jc w:val="center"/>
                    <w:rPr>
                      <w:sz w:val="21"/>
                    </w:rPr>
                  </w:pPr>
                  <w:r>
                    <w:rPr>
                      <w:sz w:val="21"/>
                    </w:rPr>
                    <w:t>0.0008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2500.0</w:t>
                  </w:r>
                </w:p>
              </w:tc>
              <w:tc>
                <w:tcPr>
                  <w:tcW w:w="2634" w:type="dxa"/>
                  <w:tcBorders>
                    <w:tl2br w:val="nil"/>
                    <w:tr2bl w:val="nil"/>
                  </w:tcBorders>
                  <w:vAlign w:val="center"/>
                </w:tcPr>
                <w:p>
                  <w:pPr>
                    <w:spacing w:line="240" w:lineRule="auto"/>
                    <w:ind w:firstLine="420"/>
                    <w:jc w:val="center"/>
                    <w:rPr>
                      <w:sz w:val="21"/>
                    </w:rPr>
                  </w:pPr>
                  <w:r>
                    <w:rPr>
                      <w:sz w:val="21"/>
                    </w:rPr>
                    <w:t>0.0134</w:t>
                  </w:r>
                </w:p>
              </w:tc>
              <w:tc>
                <w:tcPr>
                  <w:tcW w:w="2476" w:type="dxa"/>
                  <w:tcBorders>
                    <w:tl2br w:val="nil"/>
                    <w:tr2bl w:val="nil"/>
                  </w:tcBorders>
                  <w:vAlign w:val="center"/>
                </w:tcPr>
                <w:p>
                  <w:pPr>
                    <w:spacing w:line="240" w:lineRule="auto"/>
                    <w:ind w:firstLine="420"/>
                    <w:jc w:val="center"/>
                    <w:rPr>
                      <w:sz w:val="21"/>
                    </w:rPr>
                  </w:pPr>
                  <w:r>
                    <w:rPr>
                      <w:sz w:val="21"/>
                    </w:rPr>
                    <w:t>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3000.0</w:t>
                  </w:r>
                </w:p>
              </w:tc>
              <w:tc>
                <w:tcPr>
                  <w:tcW w:w="2634" w:type="dxa"/>
                  <w:tcBorders>
                    <w:tl2br w:val="nil"/>
                    <w:tr2bl w:val="nil"/>
                  </w:tcBorders>
                  <w:vAlign w:val="center"/>
                </w:tcPr>
                <w:p>
                  <w:pPr>
                    <w:spacing w:line="240" w:lineRule="auto"/>
                    <w:ind w:firstLine="420"/>
                    <w:jc w:val="center"/>
                    <w:rPr>
                      <w:sz w:val="21"/>
                    </w:rPr>
                  </w:pPr>
                  <w:r>
                    <w:rPr>
                      <w:sz w:val="21"/>
                    </w:rPr>
                    <w:t>0.0118</w:t>
                  </w:r>
                </w:p>
              </w:tc>
              <w:tc>
                <w:tcPr>
                  <w:tcW w:w="2476" w:type="dxa"/>
                  <w:tcBorders>
                    <w:tl2br w:val="nil"/>
                    <w:tr2bl w:val="nil"/>
                  </w:tcBorders>
                  <w:vAlign w:val="center"/>
                </w:tcPr>
                <w:p>
                  <w:pPr>
                    <w:spacing w:line="240" w:lineRule="auto"/>
                    <w:ind w:firstLine="420"/>
                    <w:jc w:val="center"/>
                    <w:rPr>
                      <w:sz w:val="21"/>
                    </w:rPr>
                  </w:pPr>
                  <w:r>
                    <w:rPr>
                      <w:sz w:val="21"/>
                    </w:rPr>
                    <w:t>0.0006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3500.0</w:t>
                  </w:r>
                </w:p>
              </w:tc>
              <w:tc>
                <w:tcPr>
                  <w:tcW w:w="2634" w:type="dxa"/>
                  <w:tcBorders>
                    <w:tl2br w:val="nil"/>
                    <w:tr2bl w:val="nil"/>
                  </w:tcBorders>
                  <w:vAlign w:val="center"/>
                </w:tcPr>
                <w:p>
                  <w:pPr>
                    <w:spacing w:line="240" w:lineRule="auto"/>
                    <w:ind w:firstLine="420"/>
                    <w:jc w:val="center"/>
                    <w:rPr>
                      <w:sz w:val="21"/>
                    </w:rPr>
                  </w:pPr>
                  <w:r>
                    <w:rPr>
                      <w:sz w:val="21"/>
                    </w:rPr>
                    <w:t>0.0107</w:t>
                  </w:r>
                </w:p>
              </w:tc>
              <w:tc>
                <w:tcPr>
                  <w:tcW w:w="2476" w:type="dxa"/>
                  <w:tcBorders>
                    <w:tl2br w:val="nil"/>
                    <w:tr2bl w:val="nil"/>
                  </w:tcBorders>
                  <w:vAlign w:val="center"/>
                </w:tcPr>
                <w:p>
                  <w:pPr>
                    <w:spacing w:line="240" w:lineRule="auto"/>
                    <w:ind w:firstLine="420"/>
                    <w:jc w:val="center"/>
                    <w:rPr>
                      <w:sz w:val="21"/>
                    </w:rPr>
                  </w:pPr>
                  <w:r>
                    <w:rPr>
                      <w:sz w:val="21"/>
                    </w:rPr>
                    <w:t>0.0005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4000.0</w:t>
                  </w:r>
                </w:p>
              </w:tc>
              <w:tc>
                <w:tcPr>
                  <w:tcW w:w="2634" w:type="dxa"/>
                  <w:tcBorders>
                    <w:tl2br w:val="nil"/>
                    <w:tr2bl w:val="nil"/>
                  </w:tcBorders>
                  <w:vAlign w:val="center"/>
                </w:tcPr>
                <w:p>
                  <w:pPr>
                    <w:spacing w:line="240" w:lineRule="auto"/>
                    <w:ind w:firstLine="420"/>
                    <w:jc w:val="center"/>
                    <w:rPr>
                      <w:sz w:val="21"/>
                    </w:rPr>
                  </w:pPr>
                  <w:r>
                    <w:rPr>
                      <w:sz w:val="21"/>
                    </w:rPr>
                    <w:t>0.0100</w:t>
                  </w:r>
                </w:p>
              </w:tc>
              <w:tc>
                <w:tcPr>
                  <w:tcW w:w="2476" w:type="dxa"/>
                  <w:tcBorders>
                    <w:tl2br w:val="nil"/>
                    <w:tr2bl w:val="nil"/>
                  </w:tcBorders>
                  <w:vAlign w:val="center"/>
                </w:tcPr>
                <w:p>
                  <w:pPr>
                    <w:spacing w:line="240" w:lineRule="auto"/>
                    <w:ind w:firstLine="420"/>
                    <w:jc w:val="center"/>
                    <w:rPr>
                      <w:sz w:val="21"/>
                    </w:rPr>
                  </w:pPr>
                  <w:r>
                    <w:rPr>
                      <w:sz w:val="21"/>
                    </w:rPr>
                    <w:t>0.0005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4500.0</w:t>
                  </w:r>
                </w:p>
              </w:tc>
              <w:tc>
                <w:tcPr>
                  <w:tcW w:w="2634" w:type="dxa"/>
                  <w:tcBorders>
                    <w:tl2br w:val="nil"/>
                    <w:tr2bl w:val="nil"/>
                  </w:tcBorders>
                  <w:vAlign w:val="center"/>
                </w:tcPr>
                <w:p>
                  <w:pPr>
                    <w:spacing w:line="240" w:lineRule="auto"/>
                    <w:ind w:firstLine="420"/>
                    <w:jc w:val="center"/>
                    <w:rPr>
                      <w:sz w:val="21"/>
                    </w:rPr>
                  </w:pPr>
                  <w:r>
                    <w:rPr>
                      <w:sz w:val="21"/>
                    </w:rPr>
                    <w:t>0.0093</w:t>
                  </w:r>
                </w:p>
              </w:tc>
              <w:tc>
                <w:tcPr>
                  <w:tcW w:w="2476" w:type="dxa"/>
                  <w:tcBorders>
                    <w:tl2br w:val="nil"/>
                    <w:tr2bl w:val="nil"/>
                  </w:tcBorders>
                  <w:vAlign w:val="center"/>
                </w:tcPr>
                <w:p>
                  <w:pPr>
                    <w:spacing w:line="240" w:lineRule="auto"/>
                    <w:ind w:firstLine="420"/>
                    <w:jc w:val="center"/>
                    <w:rPr>
                      <w:sz w:val="21"/>
                    </w:rPr>
                  </w:pPr>
                  <w:r>
                    <w:rPr>
                      <w:sz w:val="21"/>
                    </w:rPr>
                    <w:t>0.0005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5000.0</w:t>
                  </w:r>
                </w:p>
              </w:tc>
              <w:tc>
                <w:tcPr>
                  <w:tcW w:w="2634" w:type="dxa"/>
                  <w:tcBorders>
                    <w:tl2br w:val="nil"/>
                    <w:tr2bl w:val="nil"/>
                  </w:tcBorders>
                  <w:vAlign w:val="center"/>
                </w:tcPr>
                <w:p>
                  <w:pPr>
                    <w:spacing w:line="240" w:lineRule="auto"/>
                    <w:ind w:firstLine="420"/>
                    <w:jc w:val="center"/>
                    <w:rPr>
                      <w:sz w:val="21"/>
                    </w:rPr>
                  </w:pPr>
                  <w:r>
                    <w:rPr>
                      <w:sz w:val="21"/>
                    </w:rPr>
                    <w:t>0.0088</w:t>
                  </w:r>
                </w:p>
              </w:tc>
              <w:tc>
                <w:tcPr>
                  <w:tcW w:w="2476" w:type="dxa"/>
                  <w:tcBorders>
                    <w:tl2br w:val="nil"/>
                    <w:tr2bl w:val="nil"/>
                  </w:tcBorders>
                  <w:vAlign w:val="center"/>
                </w:tcPr>
                <w:p>
                  <w:pPr>
                    <w:spacing w:line="240" w:lineRule="auto"/>
                    <w:ind w:firstLine="420"/>
                    <w:jc w:val="center"/>
                    <w:rPr>
                      <w:sz w:val="21"/>
                    </w:rPr>
                  </w:pPr>
                  <w:r>
                    <w:rPr>
                      <w:sz w:val="21"/>
                    </w:rPr>
                    <w:t>0.0004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10000.0</w:t>
                  </w:r>
                </w:p>
              </w:tc>
              <w:tc>
                <w:tcPr>
                  <w:tcW w:w="2634" w:type="dxa"/>
                  <w:tcBorders>
                    <w:tl2br w:val="nil"/>
                    <w:tr2bl w:val="nil"/>
                  </w:tcBorders>
                  <w:vAlign w:val="center"/>
                </w:tcPr>
                <w:p>
                  <w:pPr>
                    <w:spacing w:line="240" w:lineRule="auto"/>
                    <w:ind w:firstLine="420"/>
                    <w:jc w:val="center"/>
                    <w:rPr>
                      <w:sz w:val="21"/>
                    </w:rPr>
                  </w:pPr>
                  <w:r>
                    <w:rPr>
                      <w:sz w:val="21"/>
                    </w:rPr>
                    <w:t>0.0054</w:t>
                  </w:r>
                </w:p>
              </w:tc>
              <w:tc>
                <w:tcPr>
                  <w:tcW w:w="2476" w:type="dxa"/>
                  <w:tcBorders>
                    <w:tl2br w:val="nil"/>
                    <w:tr2bl w:val="nil"/>
                  </w:tcBorders>
                  <w:vAlign w:val="center"/>
                </w:tcPr>
                <w:p>
                  <w:pPr>
                    <w:spacing w:line="240" w:lineRule="auto"/>
                    <w:ind w:firstLine="420"/>
                    <w:jc w:val="center"/>
                    <w:rPr>
                      <w:sz w:val="21"/>
                    </w:rPr>
                  </w:pPr>
                  <w:r>
                    <w:rPr>
                      <w:sz w:val="21"/>
                    </w:rPr>
                    <w:t>0.0003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11000.0</w:t>
                  </w:r>
                </w:p>
              </w:tc>
              <w:tc>
                <w:tcPr>
                  <w:tcW w:w="2634" w:type="dxa"/>
                  <w:tcBorders>
                    <w:tl2br w:val="nil"/>
                    <w:tr2bl w:val="nil"/>
                  </w:tcBorders>
                  <w:vAlign w:val="center"/>
                </w:tcPr>
                <w:p>
                  <w:pPr>
                    <w:spacing w:line="240" w:lineRule="auto"/>
                    <w:ind w:firstLine="420"/>
                    <w:jc w:val="center"/>
                    <w:rPr>
                      <w:sz w:val="21"/>
                    </w:rPr>
                  </w:pPr>
                  <w:r>
                    <w:rPr>
                      <w:sz w:val="21"/>
                    </w:rPr>
                    <w:t>0.0050</w:t>
                  </w:r>
                </w:p>
              </w:tc>
              <w:tc>
                <w:tcPr>
                  <w:tcW w:w="2476" w:type="dxa"/>
                  <w:tcBorders>
                    <w:tl2br w:val="nil"/>
                    <w:tr2bl w:val="nil"/>
                  </w:tcBorders>
                  <w:vAlign w:val="center"/>
                </w:tcPr>
                <w:p>
                  <w:pPr>
                    <w:spacing w:line="240" w:lineRule="auto"/>
                    <w:ind w:firstLine="420"/>
                    <w:jc w:val="center"/>
                    <w:rPr>
                      <w:sz w:val="21"/>
                    </w:rPr>
                  </w:pPr>
                  <w:r>
                    <w:rPr>
                      <w:sz w:val="21"/>
                    </w:rPr>
                    <w:t>0.0003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12000.0</w:t>
                  </w:r>
                </w:p>
              </w:tc>
              <w:tc>
                <w:tcPr>
                  <w:tcW w:w="2634" w:type="dxa"/>
                  <w:tcBorders>
                    <w:tl2br w:val="nil"/>
                    <w:tr2bl w:val="nil"/>
                  </w:tcBorders>
                  <w:vAlign w:val="center"/>
                </w:tcPr>
                <w:p>
                  <w:pPr>
                    <w:spacing w:line="240" w:lineRule="auto"/>
                    <w:ind w:firstLine="420"/>
                    <w:jc w:val="center"/>
                    <w:rPr>
                      <w:sz w:val="21"/>
                    </w:rPr>
                  </w:pPr>
                  <w:r>
                    <w:rPr>
                      <w:sz w:val="21"/>
                    </w:rPr>
                    <w:t>0.0047</w:t>
                  </w:r>
                </w:p>
              </w:tc>
              <w:tc>
                <w:tcPr>
                  <w:tcW w:w="2476" w:type="dxa"/>
                  <w:tcBorders>
                    <w:tl2br w:val="nil"/>
                    <w:tr2bl w:val="nil"/>
                  </w:tcBorders>
                  <w:vAlign w:val="center"/>
                </w:tcPr>
                <w:p>
                  <w:pPr>
                    <w:spacing w:line="240" w:lineRule="auto"/>
                    <w:ind w:firstLine="420"/>
                    <w:jc w:val="center"/>
                    <w:rPr>
                      <w:sz w:val="21"/>
                    </w:rPr>
                  </w:pPr>
                  <w:r>
                    <w:rPr>
                      <w:sz w:val="21"/>
                    </w:rPr>
                    <w:t>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13000.0</w:t>
                  </w:r>
                </w:p>
              </w:tc>
              <w:tc>
                <w:tcPr>
                  <w:tcW w:w="2634" w:type="dxa"/>
                  <w:tcBorders>
                    <w:tl2br w:val="nil"/>
                    <w:tr2bl w:val="nil"/>
                  </w:tcBorders>
                  <w:vAlign w:val="center"/>
                </w:tcPr>
                <w:p>
                  <w:pPr>
                    <w:spacing w:line="240" w:lineRule="auto"/>
                    <w:ind w:firstLine="420"/>
                    <w:jc w:val="center"/>
                    <w:rPr>
                      <w:sz w:val="21"/>
                    </w:rPr>
                  </w:pPr>
                  <w:r>
                    <w:rPr>
                      <w:sz w:val="21"/>
                    </w:rPr>
                    <w:t>0.0044</w:t>
                  </w:r>
                </w:p>
              </w:tc>
              <w:tc>
                <w:tcPr>
                  <w:tcW w:w="2476" w:type="dxa"/>
                  <w:tcBorders>
                    <w:tl2br w:val="nil"/>
                    <w:tr2bl w:val="nil"/>
                  </w:tcBorders>
                  <w:vAlign w:val="center"/>
                </w:tcPr>
                <w:p>
                  <w:pPr>
                    <w:spacing w:line="240" w:lineRule="auto"/>
                    <w:ind w:firstLine="420"/>
                    <w:jc w:val="center"/>
                    <w:rPr>
                      <w:sz w:val="21"/>
                    </w:rPr>
                  </w:pPr>
                  <w:r>
                    <w:rPr>
                      <w:sz w:val="21"/>
                    </w:rPr>
                    <w:t>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14000.0</w:t>
                  </w:r>
                </w:p>
              </w:tc>
              <w:tc>
                <w:tcPr>
                  <w:tcW w:w="2634" w:type="dxa"/>
                  <w:tcBorders>
                    <w:tl2br w:val="nil"/>
                    <w:tr2bl w:val="nil"/>
                  </w:tcBorders>
                  <w:vAlign w:val="center"/>
                </w:tcPr>
                <w:p>
                  <w:pPr>
                    <w:spacing w:line="240" w:lineRule="auto"/>
                    <w:ind w:firstLine="420"/>
                    <w:jc w:val="center"/>
                    <w:rPr>
                      <w:sz w:val="21"/>
                    </w:rPr>
                  </w:pPr>
                  <w:r>
                    <w:rPr>
                      <w:sz w:val="21"/>
                    </w:rPr>
                    <w:t>0.0041</w:t>
                  </w:r>
                </w:p>
              </w:tc>
              <w:tc>
                <w:tcPr>
                  <w:tcW w:w="2476" w:type="dxa"/>
                  <w:tcBorders>
                    <w:tl2br w:val="nil"/>
                    <w:tr2bl w:val="nil"/>
                  </w:tcBorders>
                  <w:vAlign w:val="center"/>
                </w:tcPr>
                <w:p>
                  <w:pPr>
                    <w:spacing w:line="240" w:lineRule="auto"/>
                    <w:ind w:firstLine="420"/>
                    <w:jc w:val="center"/>
                    <w:rPr>
                      <w:sz w:val="21"/>
                    </w:rPr>
                  </w:pPr>
                  <w:r>
                    <w:rPr>
                      <w:sz w:val="21"/>
                    </w:rPr>
                    <w:t>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15000.0</w:t>
                  </w:r>
                </w:p>
              </w:tc>
              <w:tc>
                <w:tcPr>
                  <w:tcW w:w="2634" w:type="dxa"/>
                  <w:tcBorders>
                    <w:tl2br w:val="nil"/>
                    <w:tr2bl w:val="nil"/>
                  </w:tcBorders>
                  <w:vAlign w:val="center"/>
                </w:tcPr>
                <w:p>
                  <w:pPr>
                    <w:spacing w:line="240" w:lineRule="auto"/>
                    <w:ind w:firstLine="420"/>
                    <w:jc w:val="center"/>
                    <w:rPr>
                      <w:sz w:val="21"/>
                    </w:rPr>
                  </w:pPr>
                  <w:r>
                    <w:rPr>
                      <w:sz w:val="21"/>
                    </w:rPr>
                    <w:t>0.0039</w:t>
                  </w:r>
                </w:p>
              </w:tc>
              <w:tc>
                <w:tcPr>
                  <w:tcW w:w="2476" w:type="dxa"/>
                  <w:tcBorders>
                    <w:tl2br w:val="nil"/>
                    <w:tr2bl w:val="nil"/>
                  </w:tcBorders>
                  <w:vAlign w:val="center"/>
                </w:tcPr>
                <w:p>
                  <w:pPr>
                    <w:spacing w:line="240" w:lineRule="auto"/>
                    <w:ind w:firstLine="420"/>
                    <w:jc w:val="center"/>
                    <w:rPr>
                      <w:sz w:val="21"/>
                    </w:rPr>
                  </w:pPr>
                  <w:r>
                    <w:rPr>
                      <w:sz w:val="21"/>
                    </w:rPr>
                    <w:t>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20000.0</w:t>
                  </w:r>
                </w:p>
              </w:tc>
              <w:tc>
                <w:tcPr>
                  <w:tcW w:w="2634" w:type="dxa"/>
                  <w:tcBorders>
                    <w:tl2br w:val="nil"/>
                    <w:tr2bl w:val="nil"/>
                  </w:tcBorders>
                  <w:vAlign w:val="center"/>
                </w:tcPr>
                <w:p>
                  <w:pPr>
                    <w:spacing w:line="240" w:lineRule="auto"/>
                    <w:ind w:firstLine="420"/>
                    <w:jc w:val="center"/>
                    <w:rPr>
                      <w:sz w:val="21"/>
                    </w:rPr>
                  </w:pPr>
                  <w:r>
                    <w:rPr>
                      <w:sz w:val="21"/>
                    </w:rPr>
                    <w:t>0.0032</w:t>
                  </w:r>
                </w:p>
              </w:tc>
              <w:tc>
                <w:tcPr>
                  <w:tcW w:w="2476" w:type="dxa"/>
                  <w:tcBorders>
                    <w:tl2br w:val="nil"/>
                    <w:tr2bl w:val="nil"/>
                  </w:tcBorders>
                  <w:vAlign w:val="center"/>
                </w:tcPr>
                <w:p>
                  <w:pPr>
                    <w:spacing w:line="240" w:lineRule="auto"/>
                    <w:ind w:firstLine="420"/>
                    <w:jc w:val="center"/>
                    <w:rPr>
                      <w:sz w:val="21"/>
                    </w:rPr>
                  </w:pPr>
                  <w:r>
                    <w:rPr>
                      <w:sz w:val="21"/>
                    </w:rPr>
                    <w:t>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8" w:type="dxa"/>
                  <w:tcBorders>
                    <w:tl2br w:val="nil"/>
                    <w:tr2bl w:val="nil"/>
                  </w:tcBorders>
                  <w:vAlign w:val="center"/>
                </w:tcPr>
                <w:p>
                  <w:pPr>
                    <w:spacing w:line="240" w:lineRule="auto"/>
                    <w:ind w:firstLine="420"/>
                    <w:jc w:val="center"/>
                    <w:rPr>
                      <w:sz w:val="21"/>
                    </w:rPr>
                  </w:pPr>
                  <w:r>
                    <w:rPr>
                      <w:sz w:val="21"/>
                    </w:rPr>
                    <w:t>25000.0</w:t>
                  </w:r>
                </w:p>
              </w:tc>
              <w:tc>
                <w:tcPr>
                  <w:tcW w:w="2634" w:type="dxa"/>
                  <w:tcBorders>
                    <w:tl2br w:val="nil"/>
                    <w:tr2bl w:val="nil"/>
                  </w:tcBorders>
                  <w:vAlign w:val="center"/>
                </w:tcPr>
                <w:p>
                  <w:pPr>
                    <w:spacing w:line="240" w:lineRule="auto"/>
                    <w:ind w:firstLine="420"/>
                    <w:jc w:val="center"/>
                    <w:rPr>
                      <w:sz w:val="21"/>
                    </w:rPr>
                  </w:pPr>
                  <w:r>
                    <w:rPr>
                      <w:sz w:val="21"/>
                    </w:rPr>
                    <w:t>0.0027</w:t>
                  </w:r>
                </w:p>
              </w:tc>
              <w:tc>
                <w:tcPr>
                  <w:tcW w:w="2476" w:type="dxa"/>
                  <w:tcBorders>
                    <w:tl2br w:val="nil"/>
                    <w:tr2bl w:val="nil"/>
                  </w:tcBorders>
                  <w:vAlign w:val="center"/>
                </w:tcPr>
                <w:p>
                  <w:pPr>
                    <w:spacing w:line="240" w:lineRule="auto"/>
                    <w:ind w:firstLine="420"/>
                    <w:jc w:val="center"/>
                    <w:rPr>
                      <w:sz w:val="21"/>
                    </w:rPr>
                  </w:pPr>
                  <w:r>
                    <w:rPr>
                      <w:sz w:val="21"/>
                    </w:rPr>
                    <w:t>0.0001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1" w:type="pct"/>
                  <w:tcBorders>
                    <w:tl2br w:val="nil"/>
                    <w:tr2bl w:val="nil"/>
                  </w:tcBorders>
                  <w:vAlign w:val="center"/>
                </w:tcPr>
                <w:p>
                  <w:pPr>
                    <w:spacing w:line="240" w:lineRule="auto"/>
                    <w:ind w:firstLine="0" w:firstLineChars="0"/>
                    <w:jc w:val="center"/>
                    <w:rPr>
                      <w:b/>
                      <w:bCs/>
                      <w:sz w:val="21"/>
                    </w:rPr>
                  </w:pPr>
                  <w:r>
                    <w:rPr>
                      <w:b/>
                      <w:bCs/>
                      <w:sz w:val="21"/>
                    </w:rPr>
                    <w:t>下风向最大浓度</w:t>
                  </w:r>
                </w:p>
              </w:tc>
              <w:tc>
                <w:tcPr>
                  <w:tcW w:w="2634" w:type="dxa"/>
                  <w:tcBorders>
                    <w:tl2br w:val="nil"/>
                    <w:tr2bl w:val="nil"/>
                  </w:tcBorders>
                  <w:vAlign w:val="center"/>
                </w:tcPr>
                <w:p>
                  <w:pPr>
                    <w:spacing w:line="240" w:lineRule="auto"/>
                    <w:ind w:firstLine="420"/>
                    <w:jc w:val="center"/>
                    <w:rPr>
                      <w:sz w:val="21"/>
                    </w:rPr>
                  </w:pPr>
                  <w:r>
                    <w:rPr>
                      <w:sz w:val="21"/>
                    </w:rPr>
                    <w:t>0.1483</w:t>
                  </w:r>
                </w:p>
              </w:tc>
              <w:tc>
                <w:tcPr>
                  <w:tcW w:w="2476" w:type="dxa"/>
                  <w:tcBorders>
                    <w:tl2br w:val="nil"/>
                    <w:tr2bl w:val="nil"/>
                  </w:tcBorders>
                  <w:vAlign w:val="center"/>
                </w:tcPr>
                <w:p>
                  <w:pPr>
                    <w:spacing w:line="240" w:lineRule="auto"/>
                    <w:ind w:firstLine="420"/>
                    <w:jc w:val="center"/>
                    <w:rPr>
                      <w:sz w:val="21"/>
                    </w:rPr>
                  </w:pPr>
                  <w:r>
                    <w:rPr>
                      <w:sz w:val="21"/>
                    </w:rPr>
                    <w:t>0.0074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1" w:type="pct"/>
                  <w:tcBorders>
                    <w:tl2br w:val="nil"/>
                    <w:tr2bl w:val="nil"/>
                  </w:tcBorders>
                  <w:vAlign w:val="center"/>
                </w:tcPr>
                <w:p>
                  <w:pPr>
                    <w:spacing w:line="240" w:lineRule="auto"/>
                    <w:ind w:firstLine="0" w:firstLineChars="0"/>
                    <w:jc w:val="center"/>
                    <w:rPr>
                      <w:b/>
                      <w:bCs/>
                      <w:sz w:val="21"/>
                    </w:rPr>
                  </w:pPr>
                  <w:r>
                    <w:rPr>
                      <w:b/>
                      <w:bCs/>
                      <w:sz w:val="21"/>
                    </w:rPr>
                    <w:t>下风向最大浓度出现距离</w:t>
                  </w:r>
                </w:p>
              </w:tc>
              <w:tc>
                <w:tcPr>
                  <w:tcW w:w="2634" w:type="dxa"/>
                  <w:tcBorders>
                    <w:tl2br w:val="nil"/>
                    <w:tr2bl w:val="nil"/>
                  </w:tcBorders>
                  <w:vAlign w:val="center"/>
                </w:tcPr>
                <w:p>
                  <w:pPr>
                    <w:spacing w:line="240" w:lineRule="auto"/>
                    <w:ind w:firstLine="420"/>
                    <w:jc w:val="center"/>
                    <w:rPr>
                      <w:sz w:val="21"/>
                    </w:rPr>
                  </w:pPr>
                  <w:r>
                    <w:rPr>
                      <w:sz w:val="21"/>
                    </w:rPr>
                    <w:t>28.0</w:t>
                  </w:r>
                </w:p>
              </w:tc>
              <w:tc>
                <w:tcPr>
                  <w:tcW w:w="2476" w:type="dxa"/>
                  <w:tcBorders>
                    <w:tl2br w:val="nil"/>
                    <w:tr2bl w:val="nil"/>
                  </w:tcBorders>
                  <w:vAlign w:val="center"/>
                </w:tcPr>
                <w:p>
                  <w:pPr>
                    <w:spacing w:line="240" w:lineRule="auto"/>
                    <w:ind w:firstLine="420"/>
                    <w:jc w:val="center"/>
                    <w:rPr>
                      <w:sz w:val="21"/>
                    </w:rPr>
                  </w:pPr>
                  <w:r>
                    <w:rPr>
                      <w:sz w:val="21"/>
                    </w:rPr>
                    <w:t>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1" w:type="pct"/>
                  <w:tcBorders>
                    <w:tl2br w:val="nil"/>
                    <w:tr2bl w:val="nil"/>
                  </w:tcBorders>
                  <w:vAlign w:val="center"/>
                </w:tcPr>
                <w:p>
                  <w:pPr>
                    <w:spacing w:line="240" w:lineRule="auto"/>
                    <w:ind w:firstLine="0" w:firstLineChars="0"/>
                    <w:jc w:val="center"/>
                    <w:rPr>
                      <w:b/>
                      <w:bCs/>
                      <w:sz w:val="21"/>
                    </w:rPr>
                  </w:pPr>
                  <w:r>
                    <w:rPr>
                      <w:b/>
                      <w:bCs/>
                      <w:sz w:val="21"/>
                    </w:rPr>
                    <w:t>D10%最远距离</w:t>
                  </w:r>
                </w:p>
              </w:tc>
              <w:tc>
                <w:tcPr>
                  <w:tcW w:w="1530" w:type="pct"/>
                  <w:tcBorders>
                    <w:tl2br w:val="nil"/>
                    <w:tr2bl w:val="nil"/>
                  </w:tcBorders>
                  <w:vAlign w:val="center"/>
                </w:tcPr>
                <w:p>
                  <w:pPr>
                    <w:spacing w:line="240" w:lineRule="auto"/>
                    <w:ind w:firstLine="0" w:firstLineChars="0"/>
                    <w:jc w:val="center"/>
                    <w:rPr>
                      <w:sz w:val="21"/>
                    </w:rPr>
                  </w:pPr>
                  <w:r>
                    <w:rPr>
                      <w:sz w:val="21"/>
                    </w:rPr>
                    <w:t>/</w:t>
                  </w:r>
                </w:p>
              </w:tc>
              <w:tc>
                <w:tcPr>
                  <w:tcW w:w="1438" w:type="pct"/>
                  <w:tcBorders>
                    <w:tl2br w:val="nil"/>
                    <w:tr2bl w:val="nil"/>
                  </w:tcBorders>
                  <w:vAlign w:val="center"/>
                </w:tcPr>
                <w:p>
                  <w:pPr>
                    <w:spacing w:line="240" w:lineRule="auto"/>
                    <w:ind w:firstLine="0" w:firstLineChars="0"/>
                    <w:jc w:val="center"/>
                    <w:rPr>
                      <w:sz w:val="21"/>
                    </w:rPr>
                  </w:pPr>
                  <w:r>
                    <w:rPr>
                      <w:sz w:val="21"/>
                    </w:rPr>
                    <w:t>/</w:t>
                  </w:r>
                </w:p>
              </w:tc>
            </w:tr>
          </w:tbl>
          <w:p>
            <w:pPr>
              <w:ind w:firstLine="560"/>
              <w:jc w:val="both"/>
            </w:pPr>
            <w:r>
              <w:rPr>
                <w:rFonts w:hint="eastAsia" w:ascii="仿宋" w:hAnsi="仿宋" w:cs="仿宋"/>
              </w:rPr>
              <w:t>⑤</w:t>
            </w:r>
            <w:r>
              <w:t>项目评价等级的判定及评价范围的确定</w:t>
            </w:r>
          </w:p>
          <w:p>
            <w:pPr>
              <w:pStyle w:val="47"/>
              <w:spacing w:line="240" w:lineRule="auto"/>
              <w:ind w:firstLine="422"/>
              <w:rPr>
                <w:rFonts w:hint="default" w:eastAsia="仿宋"/>
                <w:szCs w:val="21"/>
              </w:rPr>
            </w:pPr>
            <w:r>
              <w:rPr>
                <w:rFonts w:hint="default" w:eastAsia="仿宋"/>
                <w:szCs w:val="21"/>
              </w:rPr>
              <w:t xml:space="preserve"> 表</w:t>
            </w:r>
            <w:r>
              <w:rPr>
                <w:rFonts w:eastAsia="仿宋"/>
                <w:szCs w:val="21"/>
              </w:rPr>
              <w:t>7-</w:t>
            </w:r>
            <w:r>
              <w:rPr>
                <w:rFonts w:hint="default" w:eastAsia="仿宋"/>
                <w:szCs w:val="21"/>
              </w:rPr>
              <w:t>5  Pmax和D10%预测和计算结果一览表</w:t>
            </w:r>
          </w:p>
          <w:tbl>
            <w:tblPr>
              <w:tblStyle w:val="26"/>
              <w:tblW w:w="8527"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79"/>
              <w:gridCol w:w="1332"/>
              <w:gridCol w:w="1752"/>
              <w:gridCol w:w="1560"/>
              <w:gridCol w:w="1356"/>
              <w:gridCol w:w="1248"/>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7" w:hRule="atLeast"/>
              </w:trPr>
              <w:tc>
                <w:tcPr>
                  <w:tcW w:w="1279" w:type="dxa"/>
                  <w:tcBorders>
                    <w:tl2br w:val="nil"/>
                    <w:tr2bl w:val="nil"/>
                  </w:tcBorders>
                  <w:vAlign w:val="center"/>
                </w:tcPr>
                <w:p>
                  <w:pPr>
                    <w:snapToGrid w:val="0"/>
                    <w:spacing w:line="240" w:lineRule="auto"/>
                    <w:ind w:firstLine="0" w:firstLineChars="0"/>
                    <w:jc w:val="center"/>
                    <w:rPr>
                      <w:b/>
                      <w:bCs/>
                      <w:sz w:val="21"/>
                    </w:rPr>
                  </w:pPr>
                  <w:r>
                    <w:rPr>
                      <w:b/>
                      <w:bCs/>
                      <w:sz w:val="21"/>
                    </w:rPr>
                    <w:t>污染源名称</w:t>
                  </w:r>
                </w:p>
              </w:tc>
              <w:tc>
                <w:tcPr>
                  <w:tcW w:w="1332" w:type="dxa"/>
                  <w:tcBorders>
                    <w:tl2br w:val="nil"/>
                    <w:tr2bl w:val="nil"/>
                  </w:tcBorders>
                  <w:vAlign w:val="center"/>
                </w:tcPr>
                <w:p>
                  <w:pPr>
                    <w:snapToGrid w:val="0"/>
                    <w:spacing w:line="240" w:lineRule="auto"/>
                    <w:ind w:firstLine="0" w:firstLineChars="0"/>
                    <w:jc w:val="center"/>
                    <w:rPr>
                      <w:b/>
                      <w:bCs/>
                      <w:sz w:val="21"/>
                    </w:rPr>
                  </w:pPr>
                  <w:r>
                    <w:rPr>
                      <w:b/>
                      <w:bCs/>
                      <w:sz w:val="21"/>
                    </w:rPr>
                    <w:t>评价因子</w:t>
                  </w:r>
                </w:p>
              </w:tc>
              <w:tc>
                <w:tcPr>
                  <w:tcW w:w="1752" w:type="dxa"/>
                  <w:tcBorders>
                    <w:tl2br w:val="nil"/>
                    <w:tr2bl w:val="nil"/>
                  </w:tcBorders>
                  <w:vAlign w:val="center"/>
                </w:tcPr>
                <w:p>
                  <w:pPr>
                    <w:snapToGrid w:val="0"/>
                    <w:spacing w:line="240" w:lineRule="auto"/>
                    <w:ind w:firstLine="0" w:firstLineChars="0"/>
                    <w:jc w:val="center"/>
                    <w:rPr>
                      <w:b/>
                      <w:bCs/>
                      <w:sz w:val="21"/>
                    </w:rPr>
                  </w:pPr>
                  <w:r>
                    <w:rPr>
                      <w:b/>
                      <w:bCs/>
                      <w:sz w:val="21"/>
                    </w:rPr>
                    <w:t>评价标准(μg/m³)</w:t>
                  </w:r>
                </w:p>
              </w:tc>
              <w:tc>
                <w:tcPr>
                  <w:tcW w:w="1560" w:type="dxa"/>
                  <w:tcBorders>
                    <w:tl2br w:val="nil"/>
                    <w:tr2bl w:val="nil"/>
                  </w:tcBorders>
                  <w:vAlign w:val="center"/>
                </w:tcPr>
                <w:p>
                  <w:pPr>
                    <w:snapToGrid w:val="0"/>
                    <w:spacing w:line="240" w:lineRule="auto"/>
                    <w:ind w:firstLine="0" w:firstLineChars="0"/>
                    <w:jc w:val="center"/>
                    <w:rPr>
                      <w:b/>
                      <w:bCs/>
                      <w:sz w:val="21"/>
                    </w:rPr>
                  </w:pPr>
                  <w:r>
                    <w:rPr>
                      <w:b/>
                      <w:bCs/>
                      <w:sz w:val="21"/>
                    </w:rPr>
                    <w:t>Cmax(μg/m³)</w:t>
                  </w:r>
                </w:p>
              </w:tc>
              <w:tc>
                <w:tcPr>
                  <w:tcW w:w="1356" w:type="dxa"/>
                  <w:tcBorders>
                    <w:tl2br w:val="nil"/>
                    <w:tr2bl w:val="nil"/>
                  </w:tcBorders>
                  <w:vAlign w:val="center"/>
                </w:tcPr>
                <w:p>
                  <w:pPr>
                    <w:snapToGrid w:val="0"/>
                    <w:spacing w:line="240" w:lineRule="auto"/>
                    <w:ind w:firstLine="0" w:firstLineChars="0"/>
                    <w:jc w:val="center"/>
                    <w:rPr>
                      <w:b/>
                      <w:bCs/>
                      <w:sz w:val="21"/>
                    </w:rPr>
                  </w:pPr>
                  <w:r>
                    <w:rPr>
                      <w:b/>
                      <w:bCs/>
                      <w:sz w:val="21"/>
                    </w:rPr>
                    <w:t>Pmax(%)</w:t>
                  </w:r>
                </w:p>
              </w:tc>
              <w:tc>
                <w:tcPr>
                  <w:tcW w:w="1248" w:type="dxa"/>
                  <w:tcBorders>
                    <w:tl2br w:val="nil"/>
                    <w:tr2bl w:val="nil"/>
                  </w:tcBorders>
                  <w:vAlign w:val="center"/>
                </w:tcPr>
                <w:p>
                  <w:pPr>
                    <w:snapToGrid w:val="0"/>
                    <w:spacing w:line="240" w:lineRule="auto"/>
                    <w:ind w:firstLine="0" w:firstLineChars="0"/>
                    <w:jc w:val="center"/>
                    <w:rPr>
                      <w:b/>
                      <w:bCs/>
                      <w:sz w:val="21"/>
                    </w:rPr>
                  </w:pPr>
                  <w:r>
                    <w:rPr>
                      <w:b/>
                      <w:bCs/>
                      <w:sz w:val="21"/>
                    </w:rPr>
                    <w:t>D10%(m)</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2" w:hRule="atLeast"/>
              </w:trPr>
              <w:tc>
                <w:tcPr>
                  <w:tcW w:w="1279" w:type="dxa"/>
                  <w:tcBorders>
                    <w:tl2br w:val="nil"/>
                    <w:tr2bl w:val="nil"/>
                  </w:tcBorders>
                  <w:vAlign w:val="center"/>
                </w:tcPr>
                <w:p>
                  <w:pPr>
                    <w:snapToGrid w:val="0"/>
                    <w:spacing w:line="240" w:lineRule="auto"/>
                    <w:ind w:firstLine="0" w:firstLineChars="0"/>
                    <w:jc w:val="center"/>
                    <w:rPr>
                      <w:sz w:val="21"/>
                    </w:rPr>
                  </w:pPr>
                  <w:r>
                    <w:rPr>
                      <w:b/>
                      <w:bCs/>
                      <w:sz w:val="21"/>
                    </w:rPr>
                    <w:t>加油点</w:t>
                  </w:r>
                </w:p>
              </w:tc>
              <w:tc>
                <w:tcPr>
                  <w:tcW w:w="1332" w:type="dxa"/>
                  <w:tcBorders>
                    <w:tl2br w:val="nil"/>
                    <w:tr2bl w:val="nil"/>
                  </w:tcBorders>
                  <w:vAlign w:val="center"/>
                </w:tcPr>
                <w:p>
                  <w:pPr>
                    <w:snapToGrid w:val="0"/>
                    <w:spacing w:line="240" w:lineRule="auto"/>
                    <w:ind w:firstLine="0" w:firstLineChars="0"/>
                    <w:jc w:val="center"/>
                    <w:rPr>
                      <w:sz w:val="21"/>
                    </w:rPr>
                  </w:pPr>
                  <w:r>
                    <w:rPr>
                      <w:sz w:val="21"/>
                    </w:rPr>
                    <w:t>NMHC</w:t>
                  </w:r>
                </w:p>
              </w:tc>
              <w:tc>
                <w:tcPr>
                  <w:tcW w:w="1752" w:type="dxa"/>
                  <w:tcBorders>
                    <w:tl2br w:val="nil"/>
                    <w:tr2bl w:val="nil"/>
                  </w:tcBorders>
                  <w:vAlign w:val="center"/>
                </w:tcPr>
                <w:p>
                  <w:pPr>
                    <w:snapToGrid w:val="0"/>
                    <w:spacing w:line="240" w:lineRule="auto"/>
                    <w:ind w:firstLine="0" w:firstLineChars="0"/>
                    <w:jc w:val="center"/>
                    <w:rPr>
                      <w:sz w:val="21"/>
                    </w:rPr>
                  </w:pPr>
                  <w:r>
                    <w:rPr>
                      <w:sz w:val="21"/>
                    </w:rPr>
                    <w:t>2000.0</w:t>
                  </w:r>
                </w:p>
              </w:tc>
              <w:tc>
                <w:tcPr>
                  <w:tcW w:w="1560" w:type="dxa"/>
                  <w:tcBorders>
                    <w:tl2br w:val="nil"/>
                    <w:tr2bl w:val="nil"/>
                  </w:tcBorders>
                  <w:vAlign w:val="center"/>
                </w:tcPr>
                <w:p>
                  <w:pPr>
                    <w:snapToGrid w:val="0"/>
                    <w:spacing w:line="240" w:lineRule="auto"/>
                    <w:ind w:firstLine="0" w:firstLineChars="0"/>
                    <w:jc w:val="center"/>
                    <w:rPr>
                      <w:sz w:val="21"/>
                    </w:rPr>
                  </w:pPr>
                  <w:r>
                    <w:rPr>
                      <w:sz w:val="21"/>
                    </w:rPr>
                    <w:t>0.1483</w:t>
                  </w:r>
                </w:p>
              </w:tc>
              <w:tc>
                <w:tcPr>
                  <w:tcW w:w="1356" w:type="dxa"/>
                  <w:tcBorders>
                    <w:tl2br w:val="nil"/>
                    <w:tr2bl w:val="nil"/>
                  </w:tcBorders>
                  <w:vAlign w:val="center"/>
                </w:tcPr>
                <w:p>
                  <w:pPr>
                    <w:snapToGrid w:val="0"/>
                    <w:spacing w:line="240" w:lineRule="auto"/>
                    <w:ind w:firstLine="0" w:firstLineChars="0"/>
                    <w:jc w:val="center"/>
                    <w:rPr>
                      <w:sz w:val="21"/>
                    </w:rPr>
                  </w:pPr>
                  <w:r>
                    <w:rPr>
                      <w:sz w:val="21"/>
                    </w:rPr>
                    <w:t>0.0074</w:t>
                  </w:r>
                </w:p>
              </w:tc>
              <w:tc>
                <w:tcPr>
                  <w:tcW w:w="1248" w:type="dxa"/>
                  <w:tcBorders>
                    <w:tl2br w:val="nil"/>
                    <w:tr2bl w:val="nil"/>
                  </w:tcBorders>
                  <w:vAlign w:val="center"/>
                </w:tcPr>
                <w:p>
                  <w:pPr>
                    <w:snapToGrid w:val="0"/>
                    <w:spacing w:line="240" w:lineRule="auto"/>
                    <w:ind w:firstLine="0" w:firstLineChars="0"/>
                    <w:jc w:val="center"/>
                    <w:rPr>
                      <w:sz w:val="21"/>
                    </w:rPr>
                  </w:pPr>
                  <w:r>
                    <w:rPr>
                      <w:sz w:val="21"/>
                    </w:rPr>
                    <w:t>/</w:t>
                  </w:r>
                </w:p>
              </w:tc>
            </w:tr>
          </w:tbl>
          <w:p>
            <w:pPr>
              <w:pStyle w:val="2"/>
              <w:ind w:firstLine="560"/>
              <w:jc w:val="both"/>
            </w:pPr>
            <w:r>
              <w:rPr>
                <w:szCs w:val="28"/>
              </w:rPr>
              <w:t xml:space="preserve"> </w:t>
            </w:r>
            <w:r>
              <w:t>本项目非甲烷总烃Pmax值为</w:t>
            </w:r>
            <w:r>
              <w:rPr>
                <w:rFonts w:hint="eastAsia"/>
              </w:rPr>
              <w:t>0.0074</w:t>
            </w:r>
            <w:r>
              <w:t>%</w:t>
            </w:r>
            <w:r>
              <w:rPr>
                <w:rFonts w:hint="eastAsia"/>
              </w:rPr>
              <w:t>&lt;1%</w:t>
            </w:r>
            <w:r>
              <w:t>,Cmax为0.1483μg/m³,根据《环境影响评价技术导则 大气环境》（HJ2.2-2018）分级判据，确定本项目大气环境影响评价工作等级为</w:t>
            </w:r>
            <w:r>
              <w:rPr>
                <w:rFonts w:hint="eastAsia"/>
              </w:rPr>
              <w:t>三</w:t>
            </w:r>
            <w:r>
              <w:t>级。本项目不需进一步预测与评价。</w:t>
            </w:r>
          </w:p>
          <w:p>
            <w:pPr>
              <w:ind w:firstLine="560"/>
              <w:jc w:val="both"/>
            </w:pPr>
            <w:r>
              <w:t>小结</w:t>
            </w:r>
            <w:r>
              <w:rPr>
                <w:rFonts w:hint="eastAsia"/>
              </w:rPr>
              <w:t>：</w:t>
            </w:r>
            <w:r>
              <w:rPr>
                <w:rFonts w:hint="eastAsia"/>
                <w:lang w:val="en-US" w:eastAsia="zh-CN"/>
              </w:rPr>
              <w:t>经现状监测，项目</w:t>
            </w:r>
            <w:r>
              <w:t>满</w:t>
            </w:r>
            <w:r>
              <w:rPr>
                <w:highlight w:val="none"/>
              </w:rPr>
              <w:t>足《大气污染物综合排放标准》（GB16297-2012）表2无组织排放浓度限值</w:t>
            </w:r>
            <w:r>
              <w:rPr>
                <w:rFonts w:hint="eastAsia"/>
                <w:highlight w:val="none"/>
                <w:lang w:eastAsia="zh-CN"/>
              </w:rPr>
              <w:t>。</w:t>
            </w:r>
            <w:r>
              <w:t>对周边环境影响较小。</w:t>
            </w:r>
            <w:r>
              <w:rPr>
                <w:rFonts w:hint="eastAsia"/>
              </w:rPr>
              <w:t>项目采取的污染防治措施有效、可行，排放的大气污染物对环境影响较小，不会改变周围大气环境功能。</w:t>
            </w:r>
            <w:r>
              <w:t>项目大气环境影响评价等级为</w:t>
            </w:r>
            <w:r>
              <w:rPr>
                <w:rFonts w:hint="eastAsia"/>
              </w:rPr>
              <w:t>三</w:t>
            </w:r>
            <w:r>
              <w:t>级，污染物最大地面浓度占标率为</w:t>
            </w:r>
            <w:r>
              <w:rPr>
                <w:rFonts w:hint="eastAsia"/>
              </w:rPr>
              <w:t>0.0074</w:t>
            </w:r>
            <w:r>
              <w:t>%</w:t>
            </w:r>
            <w:r>
              <w:rPr>
                <w:rFonts w:hint="eastAsia"/>
              </w:rPr>
              <w:t>&lt;</w:t>
            </w:r>
            <w:r>
              <w:t>1%，出现最远距离为下风向28m。因此，本项目无需设置大气环境防护距离。</w:t>
            </w:r>
          </w:p>
          <w:p>
            <w:pPr>
              <w:ind w:firstLine="560"/>
              <w:jc w:val="both"/>
            </w:pPr>
            <w:r>
              <w:t>加油点运营单位在加油</w:t>
            </w:r>
            <w:r>
              <w:rPr>
                <w:rFonts w:hint="eastAsia"/>
              </w:rPr>
              <w:t>点</w:t>
            </w:r>
            <w:r>
              <w:t>卸油、储油和加油过程中产生的油气设油气回收系统。在收</w:t>
            </w:r>
            <w:r>
              <w:rPr>
                <w:rFonts w:hint="eastAsia"/>
              </w:rPr>
              <w:t>集</w:t>
            </w:r>
            <w:r>
              <w:t>、储存和送入油罐汽车的罐内，运送至储油库集中回收处理，应建立完善的油气回收管理制度，定期检查、维护油气回收装置。</w:t>
            </w:r>
          </w:p>
          <w:p>
            <w:pPr>
              <w:ind w:firstLine="560"/>
              <w:jc w:val="both"/>
            </w:pPr>
            <w:r>
              <w:rPr>
                <w:rFonts w:hint="eastAsia"/>
              </w:rPr>
              <w:t>（2）</w:t>
            </w:r>
            <w:r>
              <w:t>汽车尾气</w:t>
            </w:r>
          </w:p>
          <w:p>
            <w:pPr>
              <w:ind w:firstLine="560"/>
              <w:jc w:val="both"/>
            </w:pPr>
            <w:r>
              <w:t>燃油汽车排气管排出的尾气是汽车污染物的主要来源，尾气中有害成分主要为NO</w:t>
            </w:r>
            <w:r>
              <w:rPr>
                <w:vertAlign w:val="subscript"/>
              </w:rPr>
              <w:t>X</w:t>
            </w:r>
            <w:r>
              <w:t>、CO、HC。本项目前来加油的汽车数量较多，将产生一定量的尾气。环评要求建设单位采取管理措施，尽量缩短怠慢速时间。另外由于站区地形开阔平坦，扩散条件较好，排放到大气中的污染物经大气稀释扩散后可实现达标排放。</w:t>
            </w:r>
          </w:p>
          <w:p>
            <w:pPr>
              <w:ind w:firstLine="560"/>
              <w:jc w:val="both"/>
            </w:pPr>
            <w:r>
              <w:t>（</w:t>
            </w:r>
            <w:r>
              <w:rPr>
                <w:rFonts w:hint="eastAsia"/>
              </w:rPr>
              <w:t>3</w:t>
            </w:r>
            <w:r>
              <w:t>）食堂油烟环境影响分析</w:t>
            </w:r>
          </w:p>
          <w:p>
            <w:pPr>
              <w:ind w:firstLine="560"/>
              <w:jc w:val="both"/>
            </w:pPr>
            <w:r>
              <w:t>厨房废气主要为厨房油烟。食物在烹饪、加工过程中将挥发出油脂、有机质及热分解或裂解产物，产生油烟废气。</w:t>
            </w:r>
          </w:p>
          <w:p>
            <w:pPr>
              <w:ind w:firstLine="560"/>
              <w:jc w:val="both"/>
            </w:pPr>
            <w:r>
              <w:t>为预防食堂油烟对周围环境的影响，本项目厨房煮食产生的油烟拟采取家庭式抽油烟机处理后排放（处理效率按80%计），经处理后食堂油烟排放浓度为0.8mg/m</w:t>
            </w:r>
            <w:r>
              <w:rPr>
                <w:vertAlign w:val="superscript"/>
              </w:rPr>
              <w:t>3</w:t>
            </w:r>
            <w:r>
              <w:t>，满足《饮食业油烟排放标准(试行)》(GB18483-2001)的排放标准(2.0mg/m</w:t>
            </w:r>
            <w:r>
              <w:rPr>
                <w:vertAlign w:val="superscript"/>
              </w:rPr>
              <w:t>3</w:t>
            </w:r>
            <w:r>
              <w:t>)。由于本项目油烟产生量较小，且为不连续排放，经家庭式抽油烟机处理后对周围环境不会产生明显影响。</w:t>
            </w:r>
          </w:p>
          <w:p>
            <w:pPr>
              <w:ind w:firstLine="560"/>
              <w:jc w:val="both"/>
            </w:pPr>
            <w:r>
              <w:t>（</w:t>
            </w:r>
            <w:r>
              <w:rPr>
                <w:rFonts w:hint="eastAsia"/>
              </w:rPr>
              <w:t>4</w:t>
            </w:r>
            <w:r>
              <w:t>）备用柴油发电机废气</w:t>
            </w:r>
          </w:p>
          <w:p>
            <w:pPr>
              <w:ind w:firstLine="560"/>
              <w:jc w:val="both"/>
            </w:pPr>
            <w:r>
              <w:t>项目站房</w:t>
            </w:r>
            <w:r>
              <w:rPr>
                <w:rFonts w:hint="eastAsia"/>
              </w:rPr>
              <w:t>配电间</w:t>
            </w:r>
            <w:r>
              <w:t>设置一台功率30KW的小型柴油发电机。柴油发电机产生的废气主要是CH、CO、NOx等，通过发电机自带的烟气净化处理装置处理后经排烟管引至屋顶排放。本项目的柴油发电机仅在停电时使用，使用频率较小。</w:t>
            </w:r>
          </w:p>
          <w:p>
            <w:pPr>
              <w:ind w:firstLine="560"/>
              <w:jc w:val="both"/>
            </w:pPr>
            <w:r>
              <w:t>综上，本项目废气在采取上述措施后，对周边大气环境影响不大。</w:t>
            </w:r>
          </w:p>
          <w:p>
            <w:pPr>
              <w:ind w:firstLine="0" w:firstLineChars="0"/>
              <w:jc w:val="both"/>
              <w:rPr>
                <w:rStyle w:val="29"/>
              </w:rPr>
            </w:pPr>
            <w:r>
              <w:rPr>
                <w:b/>
                <w:bCs/>
                <w:szCs w:val="28"/>
              </w:rPr>
              <w:t>2、地表水环境影响分析</w:t>
            </w:r>
          </w:p>
          <w:p>
            <w:pPr>
              <w:ind w:firstLine="560"/>
              <w:jc w:val="both"/>
            </w:pPr>
            <w:r>
              <w:t>本项目废水主要为生活</w:t>
            </w:r>
            <w:r>
              <w:rPr>
                <w:rFonts w:hint="eastAsia"/>
              </w:rPr>
              <w:t>污水</w:t>
            </w:r>
            <w:r>
              <w:t>和场地冲洗废水。</w:t>
            </w:r>
          </w:p>
          <w:p>
            <w:pPr>
              <w:ind w:firstLine="560"/>
              <w:jc w:val="both"/>
            </w:pPr>
            <w:r>
              <w:t>项目所在区域</w:t>
            </w:r>
            <w:r>
              <w:rPr>
                <w:rFonts w:hint="eastAsia"/>
              </w:rPr>
              <w:t>未设置</w:t>
            </w:r>
            <w:r>
              <w:t>集中污水处理厂。生活污水和公共卫生间污水经化粪池预处理后交由周边居民清掏用作农肥。场地冲洗废水经隔油池沉淀预处理后回用于站内绿化，不外排。</w:t>
            </w:r>
            <w:r>
              <w:rPr>
                <w:rFonts w:hint="eastAsia"/>
                <w:u w:val="single"/>
              </w:rPr>
              <w:t>由于加油区设置罩棚，且罩棚旁有排水沟，雨水不会涌入加油区，因此加油区“跑冒滴漏”产生的油品不会进入初期雨水，少量初期雨水进入罩棚区截水沟，进入隔油池后排放，不会对附近地表水体产生不利影响</w:t>
            </w:r>
            <w:r>
              <w:rPr>
                <w:rFonts w:hint="eastAsia"/>
              </w:rPr>
              <w:t>。</w:t>
            </w:r>
            <w:r>
              <w:t>根据《环境影响评价技术导则 地表水环境》（HJ2.3-2018）：5.2.2.2建设项目生产工艺中废水产生，按三级B评价。本项目废水全部回用，不排放到外环境，因此，本项目地表水环境评价为三级B。按照《环境影响评价技术导则 地表水环境》（HJ2.3-2018）7.1.2：水污染影响型三级B评价可不进行水环境影响预测。三级B评价主要进行水污染控制和水污染影响减缓措施有效性评价和依托污水处理设施环境可行分析。</w:t>
            </w:r>
          </w:p>
          <w:p>
            <w:pPr>
              <w:ind w:firstLine="560"/>
              <w:jc w:val="both"/>
            </w:pPr>
            <w:r>
              <w:t>根据目前的实际情况，由于本项目周边有农田耕地</w:t>
            </w:r>
            <w:r>
              <w:rPr>
                <w:rFonts w:hint="eastAsia"/>
              </w:rPr>
              <w:t>，</w:t>
            </w:r>
            <w:r>
              <w:t>站点生活污水产生量只有</w:t>
            </w:r>
            <w:r>
              <w:rPr>
                <w:rFonts w:hint="eastAsia"/>
              </w:rPr>
              <w:t>65.7</w:t>
            </w:r>
            <w:r>
              <w:t>t/a</w:t>
            </w:r>
            <w:r>
              <w:rPr>
                <w:rFonts w:hint="eastAsia"/>
              </w:rPr>
              <w:t>，</w:t>
            </w:r>
            <w:r>
              <w:t>本项目生活污水经化粪池处理后完全可以进入站区周边农田耕地施肥，场地冲洗废水经隔油沉淀池预处理后能全部回用于站内绿化，加油点采取了严格的雨污分流措施，本项目不往水体排污，不会对区域水环境造成明显影响，废水处置措施可行。</w:t>
            </w:r>
          </w:p>
          <w:p>
            <w:pPr>
              <w:pStyle w:val="25"/>
              <w:spacing w:after="0"/>
              <w:ind w:left="0" w:leftChars="0" w:firstLine="0" w:firstLineChars="0"/>
              <w:jc w:val="both"/>
              <w:rPr>
                <w:b/>
                <w:bCs/>
                <w:szCs w:val="28"/>
              </w:rPr>
            </w:pPr>
            <w:r>
              <w:rPr>
                <w:b/>
                <w:bCs/>
                <w:szCs w:val="28"/>
              </w:rPr>
              <w:t>3、地下水影响分析</w:t>
            </w:r>
          </w:p>
          <w:p>
            <w:pPr>
              <w:ind w:firstLine="560"/>
              <w:jc w:val="both"/>
            </w:pPr>
            <w:r>
              <w:t>根据《环境影响评价技术导则-地下水环境》（HJ610-2016）的有关内容，加油点地下水环境评价项目类型为Ⅱ类，地下水敏感程度为不敏感，根据Ⅱ类建设项目地下水环境影响评价工作等级的划分，本项目为地下水环境影响评价的评价等级为三级评价。</w:t>
            </w:r>
          </w:p>
          <w:p>
            <w:pPr>
              <w:ind w:firstLine="560"/>
              <w:jc w:val="both"/>
            </w:pPr>
            <w:r>
              <w:t>加油点储油罐区对油罐的防漏和土壤的防渗问题最为关键，防止油站的油料跑、冒、滴、漏产生的渗漏进入土壤和区域地下水而造成污染影响，根据《加油站地下水污染防治技术指南（试行）的通知》（环境保护部办公厅，环办水体函[2017]323号）的有关要求，为了预防加油站地下水污染，加油点设置</w:t>
            </w:r>
            <w:r>
              <w:rPr>
                <w:rFonts w:hint="eastAsia"/>
                <w:lang w:val="en-US" w:eastAsia="zh-CN"/>
              </w:rPr>
              <w:t>了</w:t>
            </w:r>
            <w:r>
              <w:t>双层罐</w:t>
            </w:r>
            <w:r>
              <w:rPr>
                <w:rFonts w:hint="eastAsia"/>
                <w:lang w:val="en-US" w:eastAsia="zh-CN"/>
              </w:rPr>
              <w:t>和地下水监测井</w:t>
            </w:r>
            <w:r>
              <w:t>。满足《加油站地下水污染防治技术指南（试行）的通知》要求。本次评价建议，需对油罐防渗池加强管理与检查。</w:t>
            </w:r>
          </w:p>
          <w:p>
            <w:pPr>
              <w:ind w:firstLine="560"/>
              <w:jc w:val="both"/>
              <w:rPr>
                <w:u w:val="single"/>
              </w:rPr>
            </w:pPr>
            <w:r>
              <w:rPr>
                <w:u w:val="single"/>
              </w:rPr>
              <w:t>本次评价提出如下防渗措施：</w:t>
            </w:r>
          </w:p>
          <w:p>
            <w:pPr>
              <w:ind w:firstLine="560"/>
              <w:jc w:val="both"/>
              <w:rPr>
                <w:u w:val="single"/>
              </w:rPr>
            </w:pPr>
            <w:r>
              <w:rPr>
                <w:u w:val="single"/>
              </w:rPr>
              <w:t>①隔油沉淀池构筑物底、侧面均采用防渗、防腐处理；接缝和施工部位应密实、结合牢固，不得渗漏。废水输送管道应做表面防腐处理，减轻管道腐蚀造成渗漏；并进行定期检查，确保消除跑、冒、漏、滴现象发生。</w:t>
            </w:r>
          </w:p>
          <w:p>
            <w:pPr>
              <w:ind w:firstLine="560"/>
              <w:jc w:val="both"/>
              <w:rPr>
                <w:u w:val="single"/>
              </w:rPr>
            </w:pPr>
            <w:r>
              <w:rPr>
                <w:u w:val="single"/>
              </w:rPr>
              <w:t>②经采取以上措施后，项目加强泄漏监控，正常运营过程中不会发生地下水污染的问题。</w:t>
            </w:r>
          </w:p>
          <w:p>
            <w:pPr>
              <w:pStyle w:val="25"/>
              <w:spacing w:after="0"/>
              <w:ind w:left="0" w:leftChars="0" w:firstLine="0" w:firstLineChars="0"/>
              <w:jc w:val="both"/>
              <w:rPr>
                <w:b/>
                <w:bCs/>
                <w:szCs w:val="28"/>
              </w:rPr>
            </w:pPr>
            <w:r>
              <w:rPr>
                <w:b/>
                <w:bCs/>
                <w:szCs w:val="28"/>
              </w:rPr>
              <w:t>4、声环境影响分析</w:t>
            </w:r>
          </w:p>
          <w:p>
            <w:pPr>
              <w:ind w:firstLine="560"/>
              <w:jc w:val="both"/>
            </w:pPr>
            <w:r>
              <w:t>本项目主要噪声源为：①项目厂区内来往的机动车行驶产生的交通噪声，噪声值约为60～80dB（A）。②加油机运行时产生的设备噪声，噪声值约为50~60dB（A）。由监测结果可知，本项目营运期厂界噪声均达到《工业企业厂界环境噪声排放标准》中2类</w:t>
            </w:r>
            <w:r>
              <w:rPr>
                <w:highlight w:val="none"/>
              </w:rPr>
              <w:t>标准</w:t>
            </w:r>
            <w:r>
              <w:t>。</w:t>
            </w:r>
            <w:r>
              <w:rPr>
                <w:rFonts w:hint="eastAsia"/>
                <w:lang w:val="en-US" w:eastAsia="zh-CN"/>
              </w:rPr>
              <w:t>敏感点噪声均达</w:t>
            </w:r>
            <w:r>
              <w:rPr>
                <w:rFonts w:hint="eastAsia"/>
                <w:highlight w:val="none"/>
                <w:lang w:val="en-US" w:eastAsia="zh-CN"/>
              </w:rPr>
              <w:t>到</w:t>
            </w:r>
            <w:r>
              <w:t>《声环境质量标准》（GB3096-2008）中2类标准。</w:t>
            </w:r>
          </w:p>
          <w:p>
            <w:pPr>
              <w:ind w:firstLine="560"/>
              <w:jc w:val="both"/>
            </w:pPr>
            <w:r>
              <w:t>为减少噪声对周边环境的影响，本次环评提出以下建议：</w:t>
            </w:r>
          </w:p>
          <w:p>
            <w:pPr>
              <w:ind w:firstLine="560"/>
              <w:jc w:val="both"/>
            </w:pPr>
            <w:r>
              <w:t>（1）加油泵设置减振垫；</w:t>
            </w:r>
          </w:p>
          <w:p>
            <w:pPr>
              <w:ind w:firstLine="560"/>
              <w:jc w:val="both"/>
            </w:pPr>
            <w:r>
              <w:t>（2）出入区域内来往的机动车严格管理，采取车辆进站时减速、禁止鸣笛、加油时车辆熄火和平稳启动等措施，使区域内的交通噪声降到最低值；</w:t>
            </w:r>
          </w:p>
          <w:p>
            <w:pPr>
              <w:ind w:firstLine="560"/>
              <w:jc w:val="both"/>
            </w:pPr>
            <w:r>
              <w:t>（3）柴油发电机噪声采用专用房间进行隔声，对机组进行消声及减震。</w:t>
            </w:r>
          </w:p>
          <w:p>
            <w:pPr>
              <w:ind w:firstLine="560"/>
              <w:jc w:val="both"/>
              <w:rPr>
                <w:szCs w:val="28"/>
              </w:rPr>
            </w:pPr>
            <w:r>
              <w:t>综上所述，项目营运期噪声对周边声环境影响不大。</w:t>
            </w:r>
          </w:p>
          <w:p>
            <w:pPr>
              <w:ind w:firstLine="0" w:firstLineChars="0"/>
              <w:jc w:val="both"/>
              <w:rPr>
                <w:b/>
                <w:bCs/>
                <w:szCs w:val="28"/>
              </w:rPr>
            </w:pPr>
            <w:r>
              <w:rPr>
                <w:b/>
                <w:bCs/>
                <w:szCs w:val="28"/>
              </w:rPr>
              <w:t>5、固体废物影响分析</w:t>
            </w:r>
          </w:p>
          <w:p>
            <w:pPr>
              <w:ind w:firstLine="560"/>
              <w:jc w:val="both"/>
              <w:rPr>
                <w:highlight w:val="green"/>
              </w:rPr>
            </w:pPr>
            <w:r>
              <w:t>本项目在运营过程中，产生的固体废物主要为：①生活垃圾、②含油抹布和手套、③油罐清洗过程产生的沉渣、④地面冲洗隔油池产生的沉渣。</w:t>
            </w:r>
            <w:r>
              <w:rPr>
                <w:rFonts w:hint="eastAsia"/>
              </w:rPr>
              <w:t>加油点于2020年9月4日与</w:t>
            </w:r>
            <w:r>
              <w:t>益阳绿芯环境资源有限公司</w:t>
            </w:r>
            <w:r>
              <w:rPr>
                <w:rFonts w:hint="eastAsia"/>
              </w:rPr>
              <w:t>签署处置协议，见附件8。</w:t>
            </w:r>
          </w:p>
          <w:p>
            <w:pPr>
              <w:ind w:firstLine="560"/>
              <w:jc w:val="both"/>
            </w:pPr>
            <w:r>
              <w:t>1）生活垃圾</w:t>
            </w:r>
          </w:p>
          <w:p>
            <w:pPr>
              <w:ind w:firstLine="560"/>
              <w:jc w:val="both"/>
            </w:pPr>
            <w:r>
              <w:t>本项目营运期生活垃圾量为2kg/d（0.73t/a），统一收集后交由环卫部门处置。</w:t>
            </w:r>
          </w:p>
          <w:p>
            <w:pPr>
              <w:ind w:firstLine="560"/>
              <w:jc w:val="both"/>
              <w:rPr>
                <w:rFonts w:hint="eastAsia" w:eastAsia="仿宋"/>
                <w:lang w:eastAsia="zh-CN"/>
              </w:rPr>
            </w:pPr>
            <w:r>
              <w:t>2）地面冲洗</w:t>
            </w:r>
            <w:r>
              <w:rPr>
                <w:rFonts w:hint="eastAsia"/>
                <w:lang w:val="en-US" w:eastAsia="zh-CN"/>
              </w:rPr>
              <w:t>油泥</w:t>
            </w:r>
          </w:p>
          <w:p>
            <w:pPr>
              <w:ind w:firstLine="560"/>
              <w:jc w:val="both"/>
            </w:pPr>
            <w:r>
              <w:t>本项目地面冲洗废水进入隔油池</w:t>
            </w:r>
            <w:r>
              <w:rPr>
                <w:rFonts w:hint="eastAsia"/>
                <w:lang w:val="en-US" w:eastAsia="zh-CN"/>
              </w:rPr>
              <w:t>油泥</w:t>
            </w:r>
            <w:r>
              <w:t>产生量约0.1t/a，定期清掏后益阳绿芯环境资源有限公司处置。</w:t>
            </w:r>
          </w:p>
          <w:p>
            <w:pPr>
              <w:ind w:firstLine="560"/>
              <w:jc w:val="both"/>
            </w:pPr>
            <w:r>
              <w:t>3）危险废物</w:t>
            </w:r>
          </w:p>
          <w:p>
            <w:pPr>
              <w:ind w:firstLine="560"/>
              <w:jc w:val="both"/>
            </w:pPr>
            <w:r>
              <w:t>①含油抹布和手套（</w:t>
            </w:r>
            <w:r>
              <w:rPr>
                <w:rFonts w:hint="eastAsia"/>
                <w:lang w:eastAsia="zh-CN"/>
              </w:rPr>
              <w:t>HW49</w:t>
            </w:r>
            <w:r>
              <w:t>其他废物）</w:t>
            </w:r>
          </w:p>
          <w:p>
            <w:pPr>
              <w:ind w:firstLine="560"/>
              <w:jc w:val="both"/>
            </w:pPr>
            <w:r>
              <w:t>本项目营运期产生的含油抹布和手套约10kg/a。根据《国家危险废物名录》（部令第39号，2016年8月1日施行）含油抹布和手套属于危险废物，编号</w:t>
            </w:r>
            <w:r>
              <w:rPr>
                <w:rFonts w:hint="eastAsia"/>
                <w:lang w:eastAsia="zh-CN"/>
              </w:rPr>
              <w:t>HW49</w:t>
            </w:r>
            <w:r>
              <w:t>，收集后交由资质单位处置。</w:t>
            </w:r>
          </w:p>
          <w:p>
            <w:pPr>
              <w:ind w:firstLine="560"/>
              <w:jc w:val="both"/>
            </w:pPr>
            <w:r>
              <w:t>②油罐清洗过程产生的沉渣（HW08废矿物油与含矿物油废物）</w:t>
            </w:r>
          </w:p>
          <w:p>
            <w:pPr>
              <w:ind w:firstLine="560"/>
              <w:jc w:val="both"/>
            </w:pPr>
            <w:r>
              <w:t>加油</w:t>
            </w:r>
            <w:r>
              <w:rPr>
                <w:rFonts w:hint="eastAsia"/>
              </w:rPr>
              <w:t>点</w:t>
            </w:r>
            <w:r>
              <w:t>在下述情况下要进行油罐清洗：新建油罐装油之前；换装不同种类的油料、原储油料对新换装的油料有影响时；需要对油罐进行明火烧焊或清除油漆时；在装油时间较长，罐内较脏时要清洗。</w:t>
            </w:r>
          </w:p>
          <w:p>
            <w:pPr>
              <w:ind w:firstLine="560"/>
              <w:jc w:val="both"/>
            </w:pPr>
            <w:r>
              <w:t>本项目每隔3～5年对油罐进行一次清洗，采用干洗法。干洗会产生少量的沉渣，沉渣量根据清洗时污染程度而定，届时由有资质的专业公司进行处置。清洗油罐产生的底渣属于危险废物，对照《国家危险废物名录》（部令第39号，2016年8月1日施行）属于危废，编号900-249-08，仅在油罐清洗过程中产生，产生的沉渣重量最大约40kg/次。由清洗油罐的公司清洗后运走，交有资质单位处置。</w:t>
            </w:r>
          </w:p>
          <w:p>
            <w:pPr>
              <w:pStyle w:val="2"/>
              <w:ind w:firstLine="560"/>
              <w:jc w:val="both"/>
            </w:pPr>
            <w:r>
              <w:rPr>
                <w:rFonts w:hint="eastAsia"/>
                <w:u w:val="single"/>
              </w:rPr>
              <w:t>加油点应单独设置一间危房暂存间做好防渗处理，并购置2个危废桶，用于暂存含油抹布、手套和油泥。交由资质单位处置</w:t>
            </w:r>
            <w:r>
              <w:rPr>
                <w:rFonts w:hint="eastAsia"/>
              </w:rPr>
              <w:t>。</w:t>
            </w:r>
          </w:p>
          <w:p>
            <w:pPr>
              <w:ind w:firstLine="560"/>
              <w:jc w:val="both"/>
            </w:pPr>
            <w:r>
              <w:t>综上所述，通过采取相应的控制措施，项目运营期固体废物不会对外环境造成不利影响。</w:t>
            </w:r>
          </w:p>
          <w:p>
            <w:pPr>
              <w:ind w:firstLine="0" w:firstLineChars="0"/>
              <w:jc w:val="both"/>
              <w:rPr>
                <w:b/>
                <w:bCs/>
                <w:szCs w:val="28"/>
              </w:rPr>
            </w:pPr>
            <w:r>
              <w:rPr>
                <w:b/>
                <w:bCs/>
                <w:szCs w:val="28"/>
              </w:rPr>
              <w:t>6、对土壤的影响的分析</w:t>
            </w:r>
          </w:p>
          <w:p>
            <w:pPr>
              <w:ind w:firstLine="560"/>
              <w:jc w:val="both"/>
              <w:rPr>
                <w:u w:val="single"/>
              </w:rPr>
            </w:pPr>
            <w:r>
              <w:rPr>
                <w:u w:val="single"/>
              </w:rPr>
              <w:t>根据《环境影响评价技术导则 土壤环境（试行）》(HJ964-2018)》附录A（规范性附录）土壤环境影响评价项目类别，本项目类别为III类。项目位于</w:t>
            </w:r>
            <w:r>
              <w:rPr>
                <w:color w:val="000000"/>
                <w:kern w:val="24"/>
                <w:szCs w:val="24"/>
                <w:u w:val="single"/>
              </w:rPr>
              <w:t>桃江县鲊埠回族乡鲊埠社区</w:t>
            </w:r>
            <w:r>
              <w:rPr>
                <w:u w:val="single"/>
              </w:rPr>
              <w:t>，土壤环境敏感程度为敏感区，项目永久占地规模为小型，对照HJ 964-2018中表4，本项目土壤环境影响评价工作等级为三级。</w:t>
            </w:r>
          </w:p>
          <w:p>
            <w:pPr>
              <w:ind w:firstLine="560"/>
              <w:jc w:val="both"/>
            </w:pPr>
            <w:r>
              <w:rPr>
                <w:u w:val="single"/>
              </w:rPr>
              <w:t>根据《环境影响评价技术导则</w:t>
            </w:r>
            <w:r>
              <w:rPr>
                <w:rFonts w:hint="eastAsia"/>
                <w:u w:val="single"/>
              </w:rPr>
              <w:t xml:space="preserve"> </w:t>
            </w:r>
            <w:r>
              <w:rPr>
                <w:u w:val="single"/>
              </w:rPr>
              <w:t>土壤环境（试行）》(HJ964-2018)》附录B（资料性附录）建设项目土壤环境影响识别表，在现场踏勘的基础上，根据项目所在地环境特征、项目环境影响因素的性质与影响程度，对本项目营运期土壤环境影响要素进行识别；详细见表7-6~7。</w:t>
            </w:r>
          </w:p>
          <w:p>
            <w:pPr>
              <w:pStyle w:val="47"/>
              <w:spacing w:line="240" w:lineRule="auto"/>
              <w:ind w:firstLine="422"/>
              <w:rPr>
                <w:rFonts w:hint="default" w:eastAsia="仿宋"/>
                <w:szCs w:val="21"/>
              </w:rPr>
            </w:pPr>
          </w:p>
          <w:p>
            <w:pPr>
              <w:pStyle w:val="47"/>
              <w:spacing w:line="240" w:lineRule="auto"/>
              <w:ind w:firstLine="422"/>
              <w:rPr>
                <w:rFonts w:hint="default" w:eastAsia="仿宋"/>
                <w:szCs w:val="21"/>
              </w:rPr>
            </w:pPr>
            <w:r>
              <w:rPr>
                <w:rFonts w:hint="default" w:eastAsia="仿宋"/>
                <w:szCs w:val="21"/>
              </w:rPr>
              <w:t>表7-6  项目土壤环境影响类型与影响途径识别表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898"/>
              <w:gridCol w:w="1752"/>
              <w:gridCol w:w="1896"/>
              <w:gridCol w:w="1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45"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时段</w:t>
                  </w:r>
                </w:p>
              </w:tc>
              <w:tc>
                <w:tcPr>
                  <w:tcW w:w="1102"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大气沉降</w:t>
                  </w: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地面浸流</w:t>
                  </w:r>
                </w:p>
              </w:tc>
              <w:tc>
                <w:tcPr>
                  <w:tcW w:w="1101"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垂直入渗</w:t>
                  </w:r>
                </w:p>
              </w:tc>
              <w:tc>
                <w:tcPr>
                  <w:tcW w:w="932"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45"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b/>
                      <w:bCs/>
                      <w:kern w:val="0"/>
                      <w:sz w:val="21"/>
                      <w:u w:val="single"/>
                    </w:rPr>
                    <w:t>运营期</w:t>
                  </w:r>
                </w:p>
              </w:tc>
              <w:tc>
                <w:tcPr>
                  <w:tcW w:w="1102"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w:t>
                  </w:r>
                </w:p>
              </w:tc>
              <w:tc>
                <w:tcPr>
                  <w:tcW w:w="1017" w:type="pct"/>
                  <w:tcBorders>
                    <w:tl2br w:val="nil"/>
                    <w:tr2bl w:val="nil"/>
                  </w:tcBorders>
                  <w:noWrap/>
                  <w:vAlign w:val="center"/>
                </w:tcPr>
                <w:p>
                  <w:pPr>
                    <w:spacing w:line="240" w:lineRule="auto"/>
                    <w:ind w:firstLine="0" w:firstLineChars="0"/>
                    <w:jc w:val="center"/>
                    <w:rPr>
                      <w:kern w:val="0"/>
                      <w:sz w:val="21"/>
                      <w:u w:val="single"/>
                    </w:rPr>
                  </w:pPr>
                  <w:r>
                    <w:rPr>
                      <w:kern w:val="0"/>
                      <w:sz w:val="21"/>
                      <w:u w:val="single"/>
                    </w:rPr>
                    <w:t>/</w:t>
                  </w:r>
                </w:p>
              </w:tc>
              <w:tc>
                <w:tcPr>
                  <w:tcW w:w="1101" w:type="pct"/>
                  <w:tcBorders>
                    <w:tl2br w:val="nil"/>
                    <w:tr2bl w:val="nil"/>
                  </w:tcBorders>
                  <w:noWrap/>
                  <w:vAlign w:val="center"/>
                </w:tcPr>
                <w:p>
                  <w:pPr>
                    <w:spacing w:line="240" w:lineRule="auto"/>
                    <w:ind w:firstLine="0" w:firstLineChars="0"/>
                    <w:jc w:val="center"/>
                    <w:rPr>
                      <w:kern w:val="0"/>
                      <w:sz w:val="21"/>
                      <w:u w:val="single"/>
                    </w:rPr>
                  </w:pPr>
                  <w:r>
                    <w:rPr>
                      <w:kern w:val="0"/>
                      <w:sz w:val="21"/>
                      <w:u w:val="single"/>
                    </w:rPr>
                    <w:t>/</w:t>
                  </w:r>
                </w:p>
              </w:tc>
              <w:tc>
                <w:tcPr>
                  <w:tcW w:w="932" w:type="pct"/>
                  <w:tcBorders>
                    <w:tl2br w:val="nil"/>
                    <w:tr2bl w:val="nil"/>
                  </w:tcBorders>
                  <w:noWrap/>
                  <w:vAlign w:val="center"/>
                </w:tcPr>
                <w:p>
                  <w:pPr>
                    <w:spacing w:line="240" w:lineRule="auto"/>
                    <w:ind w:firstLine="0" w:firstLineChars="0"/>
                    <w:jc w:val="center"/>
                    <w:rPr>
                      <w:kern w:val="0"/>
                      <w:sz w:val="21"/>
                      <w:u w:val="single"/>
                    </w:rPr>
                  </w:pPr>
                  <w:r>
                    <w:rPr>
                      <w:kern w:val="0"/>
                      <w:sz w:val="21"/>
                      <w:u w:val="single"/>
                    </w:rPr>
                    <w:t>√（石油类）</w:t>
                  </w:r>
                </w:p>
              </w:tc>
            </w:tr>
          </w:tbl>
          <w:p>
            <w:pPr>
              <w:overflowPunct w:val="0"/>
              <w:autoSpaceDE w:val="0"/>
              <w:autoSpaceDN w:val="0"/>
              <w:snapToGrid w:val="0"/>
              <w:spacing w:line="360" w:lineRule="auto"/>
              <w:ind w:firstLine="361"/>
              <w:jc w:val="left"/>
              <w:textAlignment w:val="baseline"/>
              <w:rPr>
                <w:b/>
                <w:sz w:val="18"/>
                <w:szCs w:val="18"/>
                <w:u w:val="single"/>
              </w:rPr>
            </w:pPr>
            <w:r>
              <w:rPr>
                <w:b/>
                <w:sz w:val="18"/>
                <w:szCs w:val="18"/>
                <w:u w:val="single"/>
              </w:rPr>
              <w:t>注：在可能产生的土壤环境影响类型处打“√”，“/”表示没有影响或无途径。</w:t>
            </w:r>
          </w:p>
          <w:p>
            <w:pPr>
              <w:pStyle w:val="47"/>
              <w:spacing w:line="240" w:lineRule="auto"/>
              <w:ind w:firstLine="422"/>
              <w:rPr>
                <w:rFonts w:hint="default" w:eastAsia="仿宋"/>
                <w:szCs w:val="21"/>
              </w:rPr>
            </w:pPr>
            <w:r>
              <w:rPr>
                <w:rFonts w:hint="default" w:eastAsia="仿宋"/>
                <w:szCs w:val="21"/>
              </w:rPr>
              <w:t>表7-7  项目土壤环境影响源及影响因子识别表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898"/>
              <w:gridCol w:w="1752"/>
              <w:gridCol w:w="1896"/>
              <w:gridCol w:w="1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5"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污染源</w:t>
                  </w:r>
                </w:p>
              </w:tc>
              <w:tc>
                <w:tcPr>
                  <w:tcW w:w="1102"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工艺流程/节点</w:t>
                  </w: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污染途径</w:t>
                  </w:r>
                </w:p>
              </w:tc>
              <w:tc>
                <w:tcPr>
                  <w:tcW w:w="1101"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污染物指标</w:t>
                  </w:r>
                </w:p>
              </w:tc>
              <w:tc>
                <w:tcPr>
                  <w:tcW w:w="932"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b/>
                      <w:bCs/>
                      <w:kern w:val="0"/>
                      <w:sz w:val="21"/>
                      <w:u w:val="single"/>
                    </w:rPr>
                  </w:pPr>
                  <w:r>
                    <w:rPr>
                      <w:b/>
                      <w:bCs/>
                      <w:kern w:val="0"/>
                      <w:sz w:val="21"/>
                      <w:u w:val="single"/>
                    </w:rPr>
                    <w:t>特征因子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5" w:type="pct"/>
                  <w:vMerge w:val="restar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b/>
                      <w:bCs/>
                      <w:kern w:val="0"/>
                      <w:sz w:val="21"/>
                      <w:u w:val="single"/>
                    </w:rPr>
                    <w:t>运营期</w:t>
                  </w:r>
                </w:p>
              </w:tc>
              <w:tc>
                <w:tcPr>
                  <w:tcW w:w="1102" w:type="pct"/>
                  <w:vMerge w:val="restar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油罐区</w:t>
                  </w: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大气沉降</w:t>
                  </w:r>
                </w:p>
              </w:tc>
              <w:tc>
                <w:tcPr>
                  <w:tcW w:w="1101"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c>
                <w:tcPr>
                  <w:tcW w:w="932"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5"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102"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地面浸流</w:t>
                  </w:r>
                </w:p>
              </w:tc>
              <w:tc>
                <w:tcPr>
                  <w:tcW w:w="1101"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c>
                <w:tcPr>
                  <w:tcW w:w="932"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5"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102"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垂直入渗</w:t>
                  </w:r>
                </w:p>
              </w:tc>
              <w:tc>
                <w:tcPr>
                  <w:tcW w:w="1101"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c>
                <w:tcPr>
                  <w:tcW w:w="932"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5"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102" w:type="pct"/>
                  <w:vMerge w:val="continue"/>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p>
              </w:tc>
              <w:tc>
                <w:tcPr>
                  <w:tcW w:w="1017" w:type="pct"/>
                  <w:tcBorders>
                    <w:tl2br w:val="nil"/>
                    <w:tr2bl w:val="nil"/>
                  </w:tcBorders>
                  <w:noWrap/>
                  <w:vAlign w:val="center"/>
                </w:tcPr>
                <w:p>
                  <w:pPr>
                    <w:overflowPunct w:val="0"/>
                    <w:autoSpaceDE w:val="0"/>
                    <w:autoSpaceDN w:val="0"/>
                    <w:snapToGrid w:val="0"/>
                    <w:spacing w:line="240" w:lineRule="auto"/>
                    <w:ind w:firstLine="0" w:firstLineChars="0"/>
                    <w:jc w:val="center"/>
                    <w:textAlignment w:val="baseline"/>
                    <w:rPr>
                      <w:kern w:val="0"/>
                      <w:sz w:val="21"/>
                      <w:u w:val="single"/>
                    </w:rPr>
                  </w:pPr>
                  <w:r>
                    <w:rPr>
                      <w:kern w:val="0"/>
                      <w:sz w:val="21"/>
                      <w:u w:val="single"/>
                    </w:rPr>
                    <w:t>其他</w:t>
                  </w:r>
                </w:p>
              </w:tc>
              <w:tc>
                <w:tcPr>
                  <w:tcW w:w="1101" w:type="pct"/>
                  <w:tcBorders>
                    <w:tl2br w:val="nil"/>
                    <w:tr2bl w:val="nil"/>
                  </w:tcBorders>
                  <w:noWrap/>
                </w:tcPr>
                <w:p>
                  <w:pPr>
                    <w:spacing w:line="240" w:lineRule="auto"/>
                    <w:ind w:firstLine="0" w:firstLineChars="0"/>
                    <w:jc w:val="center"/>
                    <w:rPr>
                      <w:kern w:val="0"/>
                      <w:sz w:val="21"/>
                      <w:u w:val="single"/>
                    </w:rPr>
                  </w:pPr>
                  <w:r>
                    <w:rPr>
                      <w:kern w:val="0"/>
                      <w:sz w:val="21"/>
                      <w:u w:val="single"/>
                    </w:rPr>
                    <w:t>√（石油类）</w:t>
                  </w:r>
                </w:p>
              </w:tc>
              <w:tc>
                <w:tcPr>
                  <w:tcW w:w="932" w:type="pct"/>
                  <w:tcBorders>
                    <w:tl2br w:val="nil"/>
                    <w:tr2bl w:val="nil"/>
                  </w:tcBorders>
                  <w:noWrap/>
                </w:tcPr>
                <w:p>
                  <w:pPr>
                    <w:spacing w:line="240" w:lineRule="auto"/>
                    <w:ind w:firstLine="0" w:firstLineChars="0"/>
                    <w:jc w:val="center"/>
                    <w:rPr>
                      <w:kern w:val="0"/>
                      <w:sz w:val="21"/>
                      <w:u w:val="single"/>
                    </w:rPr>
                  </w:pPr>
                  <w:r>
                    <w:rPr>
                      <w:kern w:val="0"/>
                      <w:sz w:val="21"/>
                      <w:u w:val="single"/>
                    </w:rPr>
                    <w:t>/</w:t>
                  </w:r>
                </w:p>
              </w:tc>
            </w:tr>
          </w:tbl>
          <w:p>
            <w:pPr>
              <w:overflowPunct w:val="0"/>
              <w:autoSpaceDE w:val="0"/>
              <w:autoSpaceDN w:val="0"/>
              <w:snapToGrid w:val="0"/>
              <w:spacing w:line="360" w:lineRule="auto"/>
              <w:ind w:firstLine="361"/>
              <w:jc w:val="left"/>
              <w:textAlignment w:val="baseline"/>
              <w:rPr>
                <w:b/>
                <w:sz w:val="18"/>
                <w:szCs w:val="18"/>
                <w:u w:val="single"/>
              </w:rPr>
            </w:pPr>
            <w:r>
              <w:rPr>
                <w:b/>
                <w:sz w:val="18"/>
                <w:szCs w:val="18"/>
                <w:u w:val="single"/>
              </w:rPr>
              <w:t>注：根据工程分析结果填写；应描述污染源特征，如连续、间断、正常、事故等；涉及大气沉降途径的。应识别建设项目周边的土壤环境敏感目标。在可能产生的土壤环境影响源及影响因子打“√”，“/”表示没有影响源或影响因子。</w:t>
            </w:r>
          </w:p>
          <w:p>
            <w:pPr>
              <w:ind w:firstLine="560"/>
              <w:jc w:val="both"/>
              <w:rPr>
                <w:u w:val="single"/>
              </w:rPr>
            </w:pPr>
            <w:r>
              <w:rPr>
                <w:u w:val="single"/>
              </w:rPr>
              <w:t>项目污染源特征分析如下：</w:t>
            </w:r>
          </w:p>
          <w:p>
            <w:pPr>
              <w:ind w:firstLine="560"/>
              <w:jc w:val="both"/>
              <w:rPr>
                <w:u w:val="single"/>
              </w:rPr>
            </w:pPr>
            <w:r>
              <w:rPr>
                <w:u w:val="single"/>
              </w:rPr>
              <w:t>项目位于桃江县鲊埠回族乡鲊埠社区，加油</w:t>
            </w:r>
            <w:r>
              <w:rPr>
                <w:rFonts w:hint="eastAsia"/>
                <w:u w:val="single"/>
              </w:rPr>
              <w:t>点</w:t>
            </w:r>
            <w:r>
              <w:rPr>
                <w:u w:val="single"/>
              </w:rPr>
              <w:t>为硬化地面，无裸露土壤；项目运营期生产过程中主要大气污染物为VOC</w:t>
            </w:r>
            <w:r>
              <w:rPr>
                <w:u w:val="single"/>
                <w:vertAlign w:val="subscript"/>
              </w:rPr>
              <w:t>S</w:t>
            </w:r>
            <w:r>
              <w:rPr>
                <w:u w:val="single"/>
              </w:rPr>
              <w:t>（非甲烷总烃计）；固废污染物为生活垃圾、危险废物包括含油抹布手套、隔油池油泥渣、清罐废油渣。</w:t>
            </w:r>
          </w:p>
          <w:p>
            <w:pPr>
              <w:ind w:firstLine="560"/>
              <w:jc w:val="both"/>
              <w:rPr>
                <w:u w:val="single"/>
              </w:rPr>
            </w:pPr>
            <w:r>
              <w:rPr>
                <w:u w:val="single"/>
              </w:rPr>
              <w:t>本项目按《汽车加油加气站设计与施工规范》（GB50156-2012）及其2014年局部修订版的要求进行设计和施工，储油设备采用地埋式砖混槽内置钢制卧式油罐，油路管线采用无缝钢管，使用焊接工艺，敷设于地下，钢罐和钢管进行加强级防腐处理，即采用玻璃布、沥青、聚氯乙烯工业膜等材料做成多层防腐涂层（其总厚度不小于5.5厘米），以防止钢罐和钢管腐蚀造成油品泄漏而污染土壤及地下水。但随着时间的推移，地下油罐由于金属材料的锈蚀及管线腐蚀会出现不同程度的渗漏，本项目储油设备采用地埋式钢制卧式油罐，油路管线采用无缝钢管敷设于地下，钢罐和钢管进行加强级防腐处理，以防止钢罐和钢管腐蚀造成油品泄漏而污染土壤及地下水。储罐区设置钢砼结构、水泥表面防渗处理，防止油品泄漏污染土壤，并设计监控井。</w:t>
            </w:r>
          </w:p>
          <w:p>
            <w:pPr>
              <w:ind w:firstLine="560"/>
              <w:jc w:val="both"/>
              <w:rPr>
                <w:u w:val="single"/>
              </w:rPr>
            </w:pPr>
            <w:r>
              <w:rPr>
                <w:u w:val="single"/>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w:t>
            </w:r>
          </w:p>
          <w:p>
            <w:pPr>
              <w:ind w:firstLine="560"/>
              <w:jc w:val="both"/>
              <w:rPr>
                <w:u w:val="single"/>
              </w:rPr>
            </w:pPr>
            <w:r>
              <w:rPr>
                <w:u w:val="single"/>
              </w:rPr>
              <w:t>当加油</w:t>
            </w:r>
            <w:r>
              <w:rPr>
                <w:rFonts w:hint="eastAsia"/>
                <w:u w:val="single"/>
              </w:rPr>
              <w:t>点</w:t>
            </w:r>
            <w:r>
              <w:rPr>
                <w:u w:val="single"/>
              </w:rPr>
              <w:t>需要关闭时，若为临时关闭，要求油罐必须被抽干，并对油罐进行连续监测并采取防锈蚀保护措施；若为永久性关闭，则无论是把油罐挖出还是留在地下，罐内的任何物体必须全部清除干净，清除之后，留在地下的油罐必须按照要求填满砂石。</w:t>
            </w:r>
          </w:p>
          <w:p>
            <w:pPr>
              <w:ind w:firstLine="560"/>
              <w:jc w:val="both"/>
              <w:rPr>
                <w:szCs w:val="24"/>
                <w:u w:val="single"/>
              </w:rPr>
            </w:pPr>
            <w:r>
              <w:rPr>
                <w:u w:val="single"/>
              </w:rPr>
              <w:t>综上所述，在采取上述措施后，本项目运营期对土壤环境影响较小</w:t>
            </w:r>
            <w:r>
              <w:rPr>
                <w:szCs w:val="24"/>
                <w:u w:val="single"/>
              </w:rPr>
              <w:t>。</w:t>
            </w:r>
          </w:p>
          <w:p>
            <w:pPr>
              <w:pStyle w:val="25"/>
              <w:ind w:left="0" w:leftChars="0" w:firstLine="0" w:firstLineChars="0"/>
              <w:jc w:val="both"/>
              <w:rPr>
                <w:b/>
                <w:bCs/>
                <w:szCs w:val="28"/>
              </w:rPr>
            </w:pPr>
            <w:r>
              <w:rPr>
                <w:b/>
                <w:bCs/>
                <w:szCs w:val="28"/>
              </w:rPr>
              <w:t>7、环境风险分析</w:t>
            </w:r>
          </w:p>
          <w:p>
            <w:pPr>
              <w:ind w:firstLine="560"/>
              <w:jc w:val="both"/>
            </w:pPr>
            <w:r>
              <w:t>根据《建设项目环境风险评价技术导则》（HJ169－2018）中建设项目环境风险评价要求：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w:t>
            </w:r>
          </w:p>
          <w:p>
            <w:pPr>
              <w:ind w:firstLine="560"/>
              <w:jc w:val="both"/>
              <w:rPr>
                <w:szCs w:val="28"/>
              </w:rPr>
            </w:pPr>
            <w:r>
              <w:rPr>
                <w:szCs w:val="28"/>
              </w:rPr>
              <w:t>（1）风险等级判定</w:t>
            </w:r>
          </w:p>
          <w:p>
            <w:pPr>
              <w:ind w:firstLine="560"/>
              <w:jc w:val="both"/>
            </w:pPr>
            <w:r>
              <w:t>①危险物质数量与临界量比值（Q）</w:t>
            </w:r>
          </w:p>
          <w:p>
            <w:pPr>
              <w:ind w:firstLine="560"/>
              <w:jc w:val="both"/>
            </w:pPr>
            <w:r>
              <w:t>对照《建设项目环境风险评价技术导则》（HJ169－2018））中附录B中危险物质临界量按照下式计算危险物质数量与其临界量比值Q：</w:t>
            </w:r>
          </w:p>
          <w:p>
            <w:pPr>
              <w:ind w:firstLine="560"/>
              <w:jc w:val="both"/>
              <w:rPr>
                <w:szCs w:val="28"/>
              </w:rPr>
            </w:pPr>
            <w:r>
              <w:rPr>
                <w:szCs w:val="28"/>
              </w:rPr>
              <w:t xml:space="preserve">Q=q1/Q1 + q2/Q2 + … + qn/Qn </w:t>
            </w:r>
          </w:p>
          <w:p>
            <w:pPr>
              <w:ind w:firstLine="560"/>
              <w:jc w:val="both"/>
              <w:rPr>
                <w:szCs w:val="28"/>
              </w:rPr>
            </w:pPr>
            <w:r>
              <w:rPr>
                <w:szCs w:val="28"/>
              </w:rPr>
              <w:t>式中：q1，q2，…，qn———每种危险物质的最大存在总量，t；</w:t>
            </w:r>
          </w:p>
          <w:p>
            <w:pPr>
              <w:ind w:firstLine="560"/>
              <w:jc w:val="both"/>
              <w:rPr>
                <w:szCs w:val="28"/>
              </w:rPr>
            </w:pPr>
            <w:r>
              <w:rPr>
                <w:szCs w:val="28"/>
              </w:rPr>
              <w:t>Q1，Q2，…，Qn———每种危险物质的临界量，t。</w:t>
            </w:r>
          </w:p>
          <w:p>
            <w:pPr>
              <w:ind w:firstLine="560"/>
              <w:jc w:val="both"/>
              <w:rPr>
                <w:szCs w:val="28"/>
              </w:rPr>
            </w:pPr>
            <w:r>
              <w:rPr>
                <w:szCs w:val="28"/>
              </w:rPr>
              <w:t>当Q≥1时，将Q值划分为：（1）1≤Q﹤10；（2）10≤Q﹤100；（3）Q≥100。</w:t>
            </w:r>
          </w:p>
          <w:p>
            <w:pPr>
              <w:ind w:firstLine="560"/>
              <w:jc w:val="both"/>
            </w:pPr>
            <w:r>
              <w:rPr>
                <w:szCs w:val="28"/>
              </w:rPr>
              <w:t>本项目的主要环境风险物质为柴油。根据《建设项目环境风险评价技术导则》（HJ169－2018））附录B中风险物质临界量计算，本项目Q值计算结果如下：</w:t>
            </w:r>
          </w:p>
          <w:p>
            <w:pPr>
              <w:pStyle w:val="47"/>
              <w:spacing w:line="240" w:lineRule="auto"/>
              <w:ind w:firstLine="422"/>
              <w:rPr>
                <w:rFonts w:hint="default" w:eastAsia="仿宋"/>
                <w:szCs w:val="21"/>
              </w:rPr>
            </w:pPr>
            <w:r>
              <w:rPr>
                <w:rFonts w:hint="default" w:eastAsia="仿宋"/>
                <w:szCs w:val="21"/>
              </w:rPr>
              <w:t>表7-6  本项目Q值计算结果</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519"/>
              <w:gridCol w:w="2017"/>
              <w:gridCol w:w="2490"/>
              <w:gridCol w:w="18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序号</w:t>
                  </w:r>
                </w:p>
              </w:tc>
              <w:tc>
                <w:tcPr>
                  <w:tcW w:w="879"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物料名称</w:t>
                  </w:r>
                </w:p>
              </w:tc>
              <w:tc>
                <w:tcPr>
                  <w:tcW w:w="1167"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临界量Qn（t）</w:t>
                  </w:r>
                </w:p>
              </w:tc>
              <w:tc>
                <w:tcPr>
                  <w:tcW w:w="1441"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最大存在量qn（t）</w:t>
                  </w:r>
                </w:p>
              </w:tc>
              <w:tc>
                <w:tcPr>
                  <w:tcW w:w="1049"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l2br w:val="nil"/>
                    <w:tr2bl w:val="nil"/>
                  </w:tcBorders>
                  <w:shd w:val="clear" w:color="auto" w:fill="auto"/>
                  <w:vAlign w:val="center"/>
                </w:tcPr>
                <w:p>
                  <w:pPr>
                    <w:spacing w:line="240" w:lineRule="auto"/>
                    <w:ind w:firstLine="0" w:firstLineChars="0"/>
                    <w:jc w:val="center"/>
                    <w:rPr>
                      <w:b/>
                      <w:bCs/>
                      <w:sz w:val="21"/>
                    </w:rPr>
                  </w:pPr>
                  <w:r>
                    <w:rPr>
                      <w:b/>
                      <w:bCs/>
                      <w:sz w:val="21"/>
                    </w:rPr>
                    <w:t>1</w:t>
                  </w:r>
                </w:p>
              </w:tc>
              <w:tc>
                <w:tcPr>
                  <w:tcW w:w="879" w:type="pct"/>
                  <w:tcBorders>
                    <w:tl2br w:val="nil"/>
                    <w:tr2bl w:val="nil"/>
                  </w:tcBorders>
                  <w:shd w:val="clear" w:color="auto" w:fill="auto"/>
                  <w:vAlign w:val="center"/>
                </w:tcPr>
                <w:p>
                  <w:pPr>
                    <w:pStyle w:val="50"/>
                    <w:widowControl/>
                    <w:snapToGrid w:val="0"/>
                    <w:spacing w:line="240" w:lineRule="auto"/>
                    <w:ind w:firstLine="0" w:firstLineChars="0"/>
                    <w:rPr>
                      <w:b/>
                      <w:bCs/>
                      <w:szCs w:val="21"/>
                    </w:rPr>
                  </w:pPr>
                  <w:r>
                    <w:rPr>
                      <w:b/>
                      <w:bCs/>
                      <w:szCs w:val="21"/>
                    </w:rPr>
                    <w:t>柴油</w:t>
                  </w:r>
                </w:p>
              </w:tc>
              <w:tc>
                <w:tcPr>
                  <w:tcW w:w="1167" w:type="pct"/>
                  <w:tcBorders>
                    <w:tl2br w:val="nil"/>
                    <w:tr2bl w:val="nil"/>
                  </w:tcBorders>
                  <w:shd w:val="clear" w:color="auto" w:fill="auto"/>
                  <w:vAlign w:val="center"/>
                </w:tcPr>
                <w:p>
                  <w:pPr>
                    <w:spacing w:line="240" w:lineRule="auto"/>
                    <w:ind w:firstLine="0" w:firstLineChars="0"/>
                    <w:jc w:val="center"/>
                    <w:rPr>
                      <w:sz w:val="21"/>
                    </w:rPr>
                  </w:pPr>
                  <w:r>
                    <w:rPr>
                      <w:sz w:val="21"/>
                    </w:rPr>
                    <w:t>200</w:t>
                  </w:r>
                </w:p>
              </w:tc>
              <w:tc>
                <w:tcPr>
                  <w:tcW w:w="1441" w:type="pct"/>
                  <w:tcBorders>
                    <w:tl2br w:val="nil"/>
                    <w:tr2bl w:val="nil"/>
                  </w:tcBorders>
                  <w:shd w:val="clear" w:color="auto" w:fill="auto"/>
                  <w:vAlign w:val="center"/>
                </w:tcPr>
                <w:p>
                  <w:pPr>
                    <w:spacing w:line="240" w:lineRule="auto"/>
                    <w:ind w:firstLine="0" w:firstLineChars="0"/>
                    <w:jc w:val="center"/>
                    <w:rPr>
                      <w:sz w:val="21"/>
                    </w:rPr>
                  </w:pPr>
                  <w:r>
                    <w:rPr>
                      <w:sz w:val="21"/>
                    </w:rPr>
                    <w:t>50</w:t>
                  </w:r>
                </w:p>
              </w:tc>
              <w:tc>
                <w:tcPr>
                  <w:tcW w:w="1049"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1" w:type="pct"/>
                  <w:gridSpan w:val="2"/>
                  <w:tcBorders>
                    <w:tl2br w:val="nil"/>
                    <w:tr2bl w:val="nil"/>
                  </w:tcBorders>
                  <w:shd w:val="clear" w:color="auto" w:fill="auto"/>
                  <w:vAlign w:val="center"/>
                </w:tcPr>
                <w:p>
                  <w:pPr>
                    <w:spacing w:line="240" w:lineRule="auto"/>
                    <w:ind w:firstLine="0" w:firstLineChars="0"/>
                    <w:jc w:val="center"/>
                    <w:rPr>
                      <w:b/>
                      <w:bCs/>
                      <w:sz w:val="21"/>
                    </w:rPr>
                  </w:pPr>
                  <w:r>
                    <w:rPr>
                      <w:b/>
                      <w:bCs/>
                      <w:sz w:val="21"/>
                    </w:rPr>
                    <w:t>小计</w:t>
                  </w:r>
                </w:p>
              </w:tc>
              <w:tc>
                <w:tcPr>
                  <w:tcW w:w="1167"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1441" w:type="pct"/>
                  <w:tcBorders>
                    <w:tl2br w:val="nil"/>
                    <w:tr2bl w:val="nil"/>
                  </w:tcBorders>
                  <w:shd w:val="clear" w:color="auto" w:fill="auto"/>
                  <w:vAlign w:val="center"/>
                </w:tcPr>
                <w:p>
                  <w:pPr>
                    <w:spacing w:line="240" w:lineRule="auto"/>
                    <w:ind w:firstLine="0" w:firstLineChars="0"/>
                    <w:jc w:val="center"/>
                    <w:rPr>
                      <w:sz w:val="21"/>
                    </w:rPr>
                  </w:pPr>
                  <w:r>
                    <w:rPr>
                      <w:sz w:val="21"/>
                    </w:rPr>
                    <w:t>——</w:t>
                  </w:r>
                </w:p>
              </w:tc>
              <w:tc>
                <w:tcPr>
                  <w:tcW w:w="1049" w:type="pct"/>
                  <w:tcBorders>
                    <w:tl2br w:val="nil"/>
                    <w:tr2bl w:val="nil"/>
                  </w:tcBorders>
                  <w:shd w:val="clear" w:color="auto" w:fill="auto"/>
                  <w:vAlign w:val="center"/>
                </w:tcPr>
                <w:p>
                  <w:pPr>
                    <w:widowControl/>
                    <w:spacing w:line="240" w:lineRule="auto"/>
                    <w:ind w:firstLine="0" w:firstLineChars="0"/>
                    <w:jc w:val="center"/>
                    <w:textAlignment w:val="center"/>
                    <w:rPr>
                      <w:sz w:val="21"/>
                    </w:rPr>
                  </w:pPr>
                  <w:r>
                    <w:rPr>
                      <w:sz w:val="21"/>
                    </w:rPr>
                    <w:t>0.25</w:t>
                  </w:r>
                </w:p>
              </w:tc>
            </w:tr>
          </w:tbl>
          <w:p>
            <w:pPr>
              <w:ind w:firstLine="560"/>
              <w:jc w:val="both"/>
              <w:rPr>
                <w:szCs w:val="28"/>
              </w:rPr>
            </w:pPr>
            <w:r>
              <w:rPr>
                <w:szCs w:val="28"/>
              </w:rPr>
              <w:t>经计算，项目危险物质数量与临界量比值（Q）&lt;1。根据《建设项目环境风险评价技术导则》（HJ/T169-2018）附录C“险物质数量及工艺系统危险性（P）分级”中C.1.1规定：当Q&lt;1时，项目风险潜势为I。仅对项目在危险物质、环境影响途径、环境危害后果、风险防范措施等方面给出定性说明。</w:t>
            </w:r>
          </w:p>
          <w:p>
            <w:pPr>
              <w:ind w:firstLine="560"/>
              <w:jc w:val="both"/>
            </w:pPr>
            <w:r>
              <w:t>（2）风险识别</w:t>
            </w:r>
          </w:p>
          <w:p>
            <w:pPr>
              <w:pStyle w:val="47"/>
              <w:spacing w:line="240" w:lineRule="auto"/>
              <w:ind w:firstLine="422"/>
              <w:rPr>
                <w:rFonts w:hint="default" w:eastAsia="仿宋"/>
                <w:szCs w:val="21"/>
              </w:rPr>
            </w:pPr>
            <w:r>
              <w:rPr>
                <w:rFonts w:hint="default" w:eastAsia="仿宋"/>
                <w:szCs w:val="21"/>
              </w:rPr>
              <w:t>表7-7  风险单元识别表</w:t>
            </w:r>
          </w:p>
          <w:tbl>
            <w:tblPr>
              <w:tblStyle w:val="27"/>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2796"/>
              <w:gridCol w:w="4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风险单元</w:t>
                  </w:r>
                </w:p>
              </w:tc>
              <w:tc>
                <w:tcPr>
                  <w:tcW w:w="1618"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风险事故</w:t>
                  </w:r>
                </w:p>
              </w:tc>
              <w:tc>
                <w:tcPr>
                  <w:tcW w:w="2675"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事故原因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储罐区</w:t>
                  </w:r>
                </w:p>
              </w:tc>
              <w:tc>
                <w:tcPr>
                  <w:tcW w:w="1618" w:type="pct"/>
                  <w:tcBorders>
                    <w:tl2br w:val="nil"/>
                    <w:tr2bl w:val="nil"/>
                  </w:tcBorders>
                  <w:shd w:val="clear" w:color="auto" w:fill="auto"/>
                  <w:vAlign w:val="center"/>
                </w:tcPr>
                <w:p>
                  <w:pPr>
                    <w:pStyle w:val="22"/>
                    <w:autoSpaceDE w:val="0"/>
                    <w:autoSpaceDN w:val="0"/>
                    <w:spacing w:line="240" w:lineRule="auto"/>
                    <w:ind w:firstLine="0" w:firstLineChars="0"/>
                    <w:jc w:val="center"/>
                    <w:rPr>
                      <w:sz w:val="21"/>
                    </w:rPr>
                  </w:pPr>
                  <w:r>
                    <w:rPr>
                      <w:sz w:val="21"/>
                    </w:rPr>
                    <w:t>油罐泄漏，泄漏后遇静电、明火等引起火灾、爆炸事故</w:t>
                  </w:r>
                </w:p>
              </w:tc>
              <w:tc>
                <w:tcPr>
                  <w:tcW w:w="2675" w:type="pct"/>
                  <w:tcBorders>
                    <w:tl2br w:val="nil"/>
                    <w:tr2bl w:val="nil"/>
                  </w:tcBorders>
                  <w:shd w:val="clear" w:color="auto" w:fill="auto"/>
                  <w:vAlign w:val="center"/>
                </w:tcPr>
                <w:p>
                  <w:pPr>
                    <w:pStyle w:val="22"/>
                    <w:autoSpaceDE w:val="0"/>
                    <w:autoSpaceDN w:val="0"/>
                    <w:spacing w:line="240" w:lineRule="auto"/>
                    <w:ind w:firstLine="0" w:firstLineChars="0"/>
                    <w:jc w:val="both"/>
                    <w:rPr>
                      <w:sz w:val="21"/>
                    </w:rPr>
                  </w:pPr>
                  <w:r>
                    <w:rPr>
                      <w:sz w:val="21"/>
                    </w:rPr>
                    <w:t>储油罐炸裂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加油岛</w:t>
                  </w:r>
                </w:p>
              </w:tc>
              <w:tc>
                <w:tcPr>
                  <w:tcW w:w="1618" w:type="pct"/>
                  <w:tcBorders>
                    <w:tl2br w:val="nil"/>
                    <w:tr2bl w:val="nil"/>
                  </w:tcBorders>
                  <w:shd w:val="clear" w:color="auto" w:fill="auto"/>
                  <w:vAlign w:val="center"/>
                </w:tcPr>
                <w:p>
                  <w:pPr>
                    <w:pStyle w:val="22"/>
                    <w:autoSpaceDE w:val="0"/>
                    <w:autoSpaceDN w:val="0"/>
                    <w:spacing w:line="240" w:lineRule="auto"/>
                    <w:ind w:firstLine="0" w:firstLineChars="0"/>
                    <w:jc w:val="center"/>
                    <w:rPr>
                      <w:sz w:val="21"/>
                    </w:rPr>
                  </w:pPr>
                  <w:r>
                    <w:rPr>
                      <w:sz w:val="21"/>
                    </w:rPr>
                    <w:t>火灾、爆炸事故</w:t>
                  </w:r>
                </w:p>
              </w:tc>
              <w:tc>
                <w:tcPr>
                  <w:tcW w:w="2675" w:type="pct"/>
                  <w:tcBorders>
                    <w:tl2br w:val="nil"/>
                    <w:tr2bl w:val="nil"/>
                  </w:tcBorders>
                  <w:shd w:val="clear" w:color="auto" w:fill="auto"/>
                  <w:vAlign w:val="center"/>
                </w:tcPr>
                <w:p>
                  <w:pPr>
                    <w:pStyle w:val="22"/>
                    <w:autoSpaceDE w:val="0"/>
                    <w:autoSpaceDN w:val="0"/>
                    <w:spacing w:line="240" w:lineRule="auto"/>
                    <w:ind w:firstLine="0" w:firstLineChars="0"/>
                    <w:jc w:val="both"/>
                    <w:rPr>
                      <w:sz w:val="21"/>
                    </w:rPr>
                  </w:pPr>
                  <w:r>
                    <w:rPr>
                      <w:sz w:val="21"/>
                    </w:rPr>
                    <w:t>车辆尾气带火星、加油过满溢出、加油机漏油、加油机防爆电气故障等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6" w:type="pct"/>
                  <w:tcBorders>
                    <w:tl2br w:val="nil"/>
                    <w:tr2bl w:val="nil"/>
                  </w:tcBorders>
                  <w:shd w:val="clear" w:color="auto" w:fill="auto"/>
                  <w:vAlign w:val="center"/>
                </w:tcPr>
                <w:p>
                  <w:pPr>
                    <w:pStyle w:val="22"/>
                    <w:autoSpaceDE w:val="0"/>
                    <w:autoSpaceDN w:val="0"/>
                    <w:spacing w:line="240" w:lineRule="auto"/>
                    <w:ind w:firstLine="0" w:firstLineChars="0"/>
                    <w:jc w:val="center"/>
                    <w:rPr>
                      <w:b/>
                      <w:bCs/>
                      <w:sz w:val="21"/>
                    </w:rPr>
                  </w:pPr>
                  <w:r>
                    <w:rPr>
                      <w:b/>
                      <w:bCs/>
                      <w:sz w:val="21"/>
                    </w:rPr>
                    <w:t>卸油区</w:t>
                  </w:r>
                </w:p>
              </w:tc>
              <w:tc>
                <w:tcPr>
                  <w:tcW w:w="1618" w:type="pct"/>
                  <w:tcBorders>
                    <w:tl2br w:val="nil"/>
                    <w:tr2bl w:val="nil"/>
                  </w:tcBorders>
                  <w:shd w:val="clear" w:color="auto" w:fill="auto"/>
                  <w:vAlign w:val="center"/>
                </w:tcPr>
                <w:p>
                  <w:pPr>
                    <w:pStyle w:val="22"/>
                    <w:autoSpaceDE w:val="0"/>
                    <w:autoSpaceDN w:val="0"/>
                    <w:spacing w:line="240" w:lineRule="auto"/>
                    <w:ind w:firstLine="0" w:firstLineChars="0"/>
                    <w:jc w:val="center"/>
                    <w:rPr>
                      <w:sz w:val="21"/>
                    </w:rPr>
                  </w:pPr>
                  <w:r>
                    <w:rPr>
                      <w:sz w:val="21"/>
                    </w:rPr>
                    <w:t>火灾、爆炸事故</w:t>
                  </w:r>
                </w:p>
              </w:tc>
              <w:tc>
                <w:tcPr>
                  <w:tcW w:w="2675" w:type="pct"/>
                  <w:tcBorders>
                    <w:tl2br w:val="nil"/>
                    <w:tr2bl w:val="nil"/>
                  </w:tcBorders>
                  <w:shd w:val="clear" w:color="auto" w:fill="auto"/>
                  <w:vAlign w:val="center"/>
                </w:tcPr>
                <w:p>
                  <w:pPr>
                    <w:pStyle w:val="22"/>
                    <w:autoSpaceDE w:val="0"/>
                    <w:autoSpaceDN w:val="0"/>
                    <w:spacing w:line="240" w:lineRule="auto"/>
                    <w:ind w:firstLine="0" w:firstLineChars="0"/>
                    <w:jc w:val="both"/>
                    <w:rPr>
                      <w:sz w:val="21"/>
                    </w:rPr>
                  </w:pPr>
                  <w:r>
                    <w:rPr>
                      <w:sz w:val="21"/>
                    </w:rPr>
                    <w:t>加油车不熄火，送油车静电没有消散，油罐车卸油连通软管导静电性能差;密闭卸油口处漏油;对明火源管理不严等</w:t>
                  </w:r>
                </w:p>
              </w:tc>
            </w:tr>
          </w:tbl>
          <w:p>
            <w:pPr>
              <w:ind w:firstLine="560"/>
              <w:jc w:val="both"/>
            </w:pPr>
            <w:r>
              <w:t>（3）风险防范措施</w:t>
            </w:r>
          </w:p>
          <w:p>
            <w:pPr>
              <w:ind w:firstLine="560"/>
              <w:jc w:val="both"/>
            </w:pPr>
            <w:r>
              <w:t>加油点</w:t>
            </w:r>
            <w:r>
              <w:rPr>
                <w:rFonts w:hint="eastAsia"/>
              </w:rPr>
              <w:t>已</w:t>
            </w:r>
            <w:r>
              <w:t>采取的风险防范措施如下：</w:t>
            </w:r>
          </w:p>
          <w:p>
            <w:pPr>
              <w:ind w:firstLine="560"/>
              <w:jc w:val="both"/>
            </w:pPr>
            <w:r>
              <w:t>1）工艺系统</w:t>
            </w:r>
          </w:p>
          <w:p>
            <w:pPr>
              <w:ind w:firstLine="560"/>
              <w:jc w:val="both"/>
            </w:pPr>
            <w:r>
              <w:t>①油罐车卸油采用密闭卸油方式。</w:t>
            </w:r>
          </w:p>
          <w:p>
            <w:pPr>
              <w:ind w:firstLine="560"/>
              <w:jc w:val="both"/>
            </w:pPr>
            <w:r>
              <w:t>②油罐车卸油采用卸油油气回收系统。</w:t>
            </w:r>
          </w:p>
          <w:p>
            <w:pPr>
              <w:ind w:firstLine="560"/>
              <w:jc w:val="both"/>
            </w:pPr>
            <w:r>
              <w:t>③油罐车上的油气回收管道接口，装设手动阀门。</w:t>
            </w:r>
          </w:p>
          <w:p>
            <w:pPr>
              <w:ind w:firstLine="560"/>
              <w:jc w:val="both"/>
            </w:pPr>
            <w:r>
              <w:t>④密闭卸油管道的各操作接口处，设快速接头及闷盖。在站内油气回收管道接口前设手动阀门。</w:t>
            </w:r>
          </w:p>
          <w:p>
            <w:pPr>
              <w:ind w:firstLine="560"/>
              <w:jc w:val="both"/>
            </w:pPr>
            <w:r>
              <w:t>⑤加油点内的卸油管道接口、油气回收管道接口设在地面以上。</w:t>
            </w:r>
          </w:p>
          <w:p>
            <w:pPr>
              <w:ind w:firstLine="560"/>
              <w:jc w:val="both"/>
            </w:pPr>
            <w:r>
              <w:t>⑥油罐带有液位报警功能的液位计。</w:t>
            </w:r>
          </w:p>
          <w:p>
            <w:pPr>
              <w:ind w:firstLine="560"/>
              <w:jc w:val="both"/>
            </w:pPr>
            <w:r>
              <w:t>⑦当采用自吸式加油机，每台加油机按加油品种单独设置进油管。</w:t>
            </w:r>
          </w:p>
          <w:p>
            <w:pPr>
              <w:ind w:firstLine="560"/>
              <w:jc w:val="both"/>
            </w:pPr>
            <w:r>
              <w:t>⑧加油点的固定工艺管道采用无缝钢管。埋地钢管的连接采用焊接。</w:t>
            </w:r>
          </w:p>
          <w:p>
            <w:pPr>
              <w:ind w:firstLine="560"/>
              <w:jc w:val="both"/>
            </w:pPr>
            <w:r>
              <w:t>⑨油罐车卸油时用的卸油连通软管、油气回收连通软管，采用双层导静电热塑性塑料出油管。</w:t>
            </w:r>
          </w:p>
          <w:p>
            <w:pPr>
              <w:ind w:firstLine="560"/>
              <w:jc w:val="both"/>
            </w:pPr>
            <w:r>
              <w:t>⑩加油机加油采用油气回收系统。</w:t>
            </w:r>
          </w:p>
          <w:p>
            <w:pPr>
              <w:ind w:firstLine="560"/>
              <w:jc w:val="both"/>
            </w:pPr>
            <w:r>
              <w:t>2）油罐</w:t>
            </w:r>
          </w:p>
          <w:p>
            <w:pPr>
              <w:ind w:firstLine="560"/>
              <w:jc w:val="both"/>
            </w:pPr>
            <w:r>
              <w:t>①柴油罐均为SF</w:t>
            </w:r>
          </w:p>
          <w:p>
            <w:pPr>
              <w:ind w:firstLine="560"/>
              <w:jc w:val="both"/>
            </w:pPr>
            <w:r>
              <w:t>②油罐的入孔，双层结构储油容器</w:t>
            </w:r>
          </w:p>
          <w:p>
            <w:pPr>
              <w:ind w:firstLine="560"/>
              <w:jc w:val="both"/>
            </w:pPr>
            <w:r>
              <w:t>③加油点的柴油罐埋地设置，未设在室内或地下室内。</w:t>
            </w:r>
          </w:p>
          <w:p>
            <w:pPr>
              <w:ind w:firstLine="560"/>
              <w:jc w:val="both"/>
            </w:pPr>
            <w:r>
              <w:rPr>
                <w:rFonts w:hint="eastAsia" w:ascii="宋体" w:hAnsi="宋体" w:eastAsia="宋体" w:cs="宋体"/>
              </w:rPr>
              <w:t>④</w:t>
            </w:r>
            <w:r>
              <w:t>采取防止油罐上浮的措施。</w:t>
            </w:r>
          </w:p>
          <w:p>
            <w:pPr>
              <w:ind w:firstLine="560"/>
              <w:jc w:val="both"/>
            </w:pPr>
            <w:r>
              <w:rPr>
                <w:rFonts w:hint="eastAsia" w:ascii="宋体" w:hAnsi="宋体" w:eastAsia="宋体" w:cs="宋体"/>
              </w:rPr>
              <w:t>⑤</w:t>
            </w:r>
            <w:r>
              <w:t>设操作井。</w:t>
            </w:r>
          </w:p>
          <w:p>
            <w:pPr>
              <w:ind w:firstLine="560"/>
              <w:jc w:val="both"/>
            </w:pPr>
            <w:r>
              <w:t>⑥油罐的顶部覆土厚度不小于0.5m。油罐的周围，回填干净的沙子或细土，其厚度不小于0.3m。</w:t>
            </w:r>
          </w:p>
          <w:p>
            <w:pPr>
              <w:ind w:firstLine="560"/>
              <w:jc w:val="both"/>
            </w:pPr>
            <w:r>
              <w:t>⑦油罐的各接合管，设在油罐的顶部，其中出油接合管设在入孔盖上。</w:t>
            </w:r>
          </w:p>
          <w:p>
            <w:pPr>
              <w:ind w:firstLine="560"/>
              <w:jc w:val="both"/>
            </w:pPr>
            <w:r>
              <w:t>⑧油罐的进油管，向下伸至罐内距罐底0.2m处。</w:t>
            </w:r>
          </w:p>
          <w:p>
            <w:pPr>
              <w:ind w:firstLine="560"/>
              <w:jc w:val="both"/>
            </w:pPr>
            <w:r>
              <w:t>⑨油罐的量油孔设带锁的量油帽，量油帽下部的接合管向下伸至罐内距罐底0.2m处。</w:t>
            </w:r>
          </w:p>
          <w:p>
            <w:pPr>
              <w:ind w:firstLine="560"/>
              <w:jc w:val="both"/>
            </w:pPr>
            <w:r>
              <w:rPr>
                <w:rFonts w:hint="eastAsia"/>
              </w:rPr>
              <w:t>（4）本次环评建议加强如下防范措施</w:t>
            </w:r>
          </w:p>
          <w:p>
            <w:pPr>
              <w:ind w:firstLine="560"/>
              <w:jc w:val="both"/>
            </w:pPr>
            <w:r>
              <w:rPr>
                <w:rFonts w:hint="eastAsia"/>
              </w:rPr>
              <w:t>1）</w:t>
            </w:r>
            <w:r>
              <w:t>管理措施</w:t>
            </w:r>
          </w:p>
          <w:p>
            <w:pPr>
              <w:ind w:firstLine="560"/>
              <w:jc w:val="both"/>
            </w:pPr>
            <w:r>
              <w:t>①加强监测，对出现的泄漏及时采取措施，对隐患要坚决消除，实行以防火为中心的安全管理。</w:t>
            </w:r>
          </w:p>
          <w:p>
            <w:pPr>
              <w:ind w:firstLine="560"/>
              <w:jc w:val="both"/>
            </w:pPr>
            <w:r>
              <w:t>②准备足够的消防灭火器材，如泡沫灭火器、灭火毯、沙子等。</w:t>
            </w:r>
          </w:p>
          <w:p>
            <w:pPr>
              <w:ind w:firstLine="560"/>
              <w:jc w:val="both"/>
            </w:pPr>
            <w:r>
              <w:t>③在油罐区周围坚决杜绝明火，特别要注意防止电器电火花引起火灾及爆炸。</w:t>
            </w:r>
          </w:p>
          <w:p>
            <w:pPr>
              <w:ind w:firstLine="560"/>
              <w:jc w:val="both"/>
            </w:pPr>
            <w:r>
              <w:t>④设置防静电接地装置，防雷接地装置，选择防爆电气设备。</w:t>
            </w:r>
          </w:p>
          <w:p>
            <w:pPr>
              <w:ind w:firstLine="560"/>
              <w:jc w:val="both"/>
            </w:pPr>
            <w:r>
              <w:t>⑤加强加油点日常安全操作与安全管理，操作人员必须进行岗前专业技能和安全培训，做到懂得本岗位的消防措施，掌握本岗位的操作步骤，明确本岗位的安全职责和事故应急处置方法对策。加强对设备设施的常维护和检修，及时排查事故安全隐患。</w:t>
            </w:r>
          </w:p>
          <w:p>
            <w:pPr>
              <w:ind w:firstLine="560"/>
              <w:jc w:val="both"/>
            </w:pPr>
            <w:r>
              <w:t>⑥在消防安全管理方面，认真落实各级消防安全责任制，制定科学有效的应急事故处理预案，并建立健全应急组织实施体系。</w:t>
            </w:r>
          </w:p>
          <w:p>
            <w:pPr>
              <w:ind w:firstLine="560"/>
              <w:jc w:val="both"/>
            </w:pPr>
            <w:r>
              <w:rPr>
                <w:rFonts w:hint="eastAsia"/>
              </w:rPr>
              <w:t>2</w:t>
            </w:r>
            <w:r>
              <w:t>）事故应急处理措施</w:t>
            </w:r>
          </w:p>
          <w:p>
            <w:pPr>
              <w:ind w:firstLine="560"/>
              <w:jc w:val="both"/>
            </w:pPr>
            <w:r>
              <w:t>目前企业尚未制定完善的事故应急预案，本项目发生火灾事故时采用干粉或泡沫灭火器、灭火毯、沙子等，</w:t>
            </w:r>
            <w:r>
              <w:rPr>
                <w:rFonts w:hint="eastAsia"/>
                <w:u w:val="single"/>
              </w:rPr>
              <w:t>当发生重大火灾时产生消防废水</w:t>
            </w:r>
            <w:r>
              <w:rPr>
                <w:u w:val="single"/>
              </w:rPr>
              <w:t>，</w:t>
            </w:r>
            <w:r>
              <w:rPr>
                <w:rFonts w:hint="eastAsia"/>
                <w:u w:val="single"/>
              </w:rPr>
              <w:t>根据《汽车加油加气站设计与施工规范 GB50156-2012》三级加油站消火栓消防用水量应小于10L/s，LPG储罐埋地敷设时，连续给水时间不应少于1h。故需</w:t>
            </w:r>
            <w:r>
              <w:rPr>
                <w:u w:val="single"/>
              </w:rPr>
              <w:t>设</w:t>
            </w:r>
            <w:r>
              <w:rPr>
                <w:rFonts w:hint="eastAsia"/>
                <w:u w:val="single"/>
              </w:rPr>
              <w:t>应急</w:t>
            </w:r>
            <w:r>
              <w:rPr>
                <w:u w:val="single"/>
              </w:rPr>
              <w:t>事故水池</w:t>
            </w:r>
            <w:r>
              <w:rPr>
                <w:rFonts w:hint="eastAsia"/>
                <w:u w:val="single"/>
              </w:rPr>
              <w:t>36m</w:t>
            </w:r>
            <w:r>
              <w:rPr>
                <w:rFonts w:hint="eastAsia"/>
                <w:u w:val="single"/>
                <w:vertAlign w:val="superscript"/>
              </w:rPr>
              <w:t>3</w:t>
            </w:r>
            <w:r>
              <w:rPr>
                <w:u w:val="single"/>
              </w:rPr>
              <w:t>，如果发生火灾，消防废水应导入应急池，经处理达标后排放</w:t>
            </w:r>
            <w:r>
              <w:rPr>
                <w:rFonts w:hint="eastAsia"/>
                <w:u w:val="single"/>
              </w:rPr>
              <w:t>，防治流入无名小溪进入资江。</w:t>
            </w:r>
            <w:r>
              <w:t>本次环评建议发生不同事故采取的处置方案如下：</w:t>
            </w:r>
          </w:p>
          <w:p>
            <w:pPr>
              <w:ind w:firstLine="560"/>
              <w:jc w:val="both"/>
              <w:rPr>
                <w:szCs w:val="28"/>
              </w:rPr>
            </w:pPr>
            <w:r>
              <w:rPr>
                <w:szCs w:val="28"/>
              </w:rPr>
              <w:t>①作业现场、油罐区跑、冒、滴、漏处置方案</w:t>
            </w:r>
          </w:p>
          <w:p>
            <w:pPr>
              <w:ind w:firstLine="560"/>
              <w:jc w:val="both"/>
              <w:rPr>
                <w:szCs w:val="28"/>
              </w:rPr>
            </w:pPr>
            <w:r>
              <w:rPr>
                <w:rFonts w:hint="eastAsia"/>
                <w:szCs w:val="28"/>
              </w:rPr>
              <w:t>A、</w:t>
            </w:r>
            <w:r>
              <w:rPr>
                <w:szCs w:val="28"/>
              </w:rPr>
              <w:t>事故发现者马上关闭油罐闸阀和罐车阀门，并切断电源，通知值班经理。</w:t>
            </w:r>
          </w:p>
          <w:p>
            <w:pPr>
              <w:ind w:firstLine="560"/>
              <w:jc w:val="both"/>
              <w:rPr>
                <w:szCs w:val="28"/>
              </w:rPr>
            </w:pPr>
            <w:r>
              <w:rPr>
                <w:rFonts w:hint="eastAsia"/>
                <w:szCs w:val="28"/>
              </w:rPr>
              <w:t>B、</w:t>
            </w:r>
            <w:r>
              <w:rPr>
                <w:szCs w:val="28"/>
              </w:rPr>
              <w:t>如泄露油品数量较少，采用沙土覆盖，待油品被充分吸收后将附有油迹的沙土放至指定场所进行专业处理。</w:t>
            </w:r>
          </w:p>
          <w:p>
            <w:pPr>
              <w:ind w:firstLine="560"/>
              <w:jc w:val="both"/>
              <w:rPr>
                <w:szCs w:val="28"/>
              </w:rPr>
            </w:pPr>
            <w:r>
              <w:rPr>
                <w:rFonts w:hint="eastAsia"/>
                <w:szCs w:val="28"/>
              </w:rPr>
              <w:t>C、</w:t>
            </w:r>
            <w:r>
              <w:rPr>
                <w:szCs w:val="28"/>
              </w:rPr>
              <w:t>泄露油品数量较多时，用沙土将油品团团围住，防止油品进一步外溢，对能够回收的油品，采用不产生静电的容器进行回收，对无法回收的油品用沙土覆盖，待油品被充分吸收后将附有油迹的沙土放至指定场所进行专业处理。</w:t>
            </w:r>
          </w:p>
          <w:p>
            <w:pPr>
              <w:ind w:firstLine="560"/>
              <w:jc w:val="both"/>
              <w:rPr>
                <w:szCs w:val="28"/>
              </w:rPr>
            </w:pPr>
            <w:r>
              <w:rPr>
                <w:rFonts w:hint="eastAsia"/>
                <w:szCs w:val="28"/>
              </w:rPr>
              <w:t>D、</w:t>
            </w:r>
            <w:r>
              <w:rPr>
                <w:szCs w:val="28"/>
              </w:rPr>
              <w:t>检查事故原因，进行堵塞。</w:t>
            </w:r>
          </w:p>
          <w:p>
            <w:pPr>
              <w:ind w:firstLine="560"/>
              <w:jc w:val="both"/>
              <w:rPr>
                <w:szCs w:val="28"/>
              </w:rPr>
            </w:pPr>
            <w:r>
              <w:rPr>
                <w:szCs w:val="28"/>
              </w:rPr>
              <w:t>②加油机火灾处置方案</w:t>
            </w:r>
          </w:p>
          <w:p>
            <w:pPr>
              <w:ind w:firstLine="560"/>
              <w:jc w:val="both"/>
              <w:rPr>
                <w:szCs w:val="28"/>
              </w:rPr>
            </w:pPr>
            <w:r>
              <w:rPr>
                <w:rFonts w:hint="eastAsia"/>
                <w:szCs w:val="28"/>
              </w:rPr>
              <w:t>A、</w:t>
            </w:r>
            <w:r>
              <w:rPr>
                <w:szCs w:val="28"/>
              </w:rPr>
              <w:t>加油机起火后，迅速启动应急预案，切断电源，用灭火器熄灭或控制加油机火源。</w:t>
            </w:r>
          </w:p>
          <w:p>
            <w:pPr>
              <w:ind w:firstLine="560"/>
              <w:jc w:val="both"/>
              <w:rPr>
                <w:szCs w:val="28"/>
              </w:rPr>
            </w:pPr>
            <w:r>
              <w:rPr>
                <w:rFonts w:hint="eastAsia"/>
                <w:szCs w:val="28"/>
              </w:rPr>
              <w:t>B、</w:t>
            </w:r>
            <w:r>
              <w:rPr>
                <w:szCs w:val="28"/>
              </w:rPr>
              <w:t>火源完全消除，组织事故调查。</w:t>
            </w:r>
          </w:p>
          <w:p>
            <w:pPr>
              <w:ind w:firstLine="560"/>
              <w:jc w:val="both"/>
              <w:rPr>
                <w:szCs w:val="28"/>
              </w:rPr>
            </w:pPr>
            <w:r>
              <w:rPr>
                <w:szCs w:val="28"/>
              </w:rPr>
              <w:t>③卸油区火灾处置方案</w:t>
            </w:r>
          </w:p>
          <w:p>
            <w:pPr>
              <w:ind w:firstLine="560"/>
              <w:jc w:val="both"/>
              <w:rPr>
                <w:szCs w:val="28"/>
              </w:rPr>
            </w:pPr>
            <w:r>
              <w:rPr>
                <w:rFonts w:hint="eastAsia"/>
                <w:szCs w:val="28"/>
              </w:rPr>
              <w:t>A、</w:t>
            </w:r>
            <w:r>
              <w:rPr>
                <w:szCs w:val="28"/>
              </w:rPr>
              <w:t>卸油区</w:t>
            </w:r>
            <w:r>
              <w:rPr>
                <w:rFonts w:hint="eastAsia"/>
                <w:szCs w:val="28"/>
                <w:lang w:val="en-US" w:eastAsia="zh-CN"/>
              </w:rPr>
              <w:t>发</w:t>
            </w:r>
            <w:r>
              <w:rPr>
                <w:szCs w:val="28"/>
              </w:rPr>
              <w:t>生火安事故，切断加油</w:t>
            </w:r>
            <w:r>
              <w:rPr>
                <w:rFonts w:hint="eastAsia"/>
                <w:szCs w:val="28"/>
              </w:rPr>
              <w:t>点</w:t>
            </w:r>
            <w:r>
              <w:rPr>
                <w:szCs w:val="28"/>
              </w:rPr>
              <w:t>电源开关，油罐车司机迅速把着火罐车驶离油站危险区域进行扑救。</w:t>
            </w:r>
          </w:p>
          <w:p>
            <w:pPr>
              <w:ind w:firstLine="560"/>
              <w:jc w:val="both"/>
              <w:rPr>
                <w:szCs w:val="28"/>
              </w:rPr>
            </w:pPr>
            <w:r>
              <w:rPr>
                <w:rFonts w:hint="eastAsia"/>
                <w:szCs w:val="28"/>
              </w:rPr>
              <w:t>B、</w:t>
            </w:r>
            <w:r>
              <w:rPr>
                <w:szCs w:val="28"/>
              </w:rPr>
              <w:t>抢险小组成员使用灭火毯堵住罐口，隔绝空气灭火，火势较猛时，先用灭火器对准罐口将大火扑灭，再用灭火毯覆盖罐口。</w:t>
            </w:r>
          </w:p>
          <w:p>
            <w:pPr>
              <w:ind w:firstLine="560"/>
              <w:jc w:val="both"/>
              <w:rPr>
                <w:szCs w:val="28"/>
              </w:rPr>
            </w:pPr>
            <w:r>
              <w:rPr>
                <w:rFonts w:hint="eastAsia"/>
                <w:szCs w:val="28"/>
              </w:rPr>
              <w:t>C、</w:t>
            </w:r>
            <w:r>
              <w:rPr>
                <w:szCs w:val="28"/>
              </w:rPr>
              <w:t>关闭卸油罐车卸油口和油罐卸油口阀门，使用灭火毯封住油罐计量口(卸油口)。</w:t>
            </w:r>
          </w:p>
          <w:p>
            <w:pPr>
              <w:ind w:firstLine="560"/>
              <w:jc w:val="both"/>
              <w:rPr>
                <w:szCs w:val="28"/>
              </w:rPr>
            </w:pPr>
            <w:r>
              <w:rPr>
                <w:rFonts w:hint="eastAsia"/>
                <w:szCs w:val="28"/>
              </w:rPr>
              <w:t>D、</w:t>
            </w:r>
            <w:r>
              <w:rPr>
                <w:szCs w:val="28"/>
              </w:rPr>
              <w:t>严禁使用水直接扑救，以免水激飞溅油品扩大着火范围。</w:t>
            </w:r>
          </w:p>
          <w:p>
            <w:pPr>
              <w:ind w:firstLine="560"/>
              <w:jc w:val="both"/>
              <w:rPr>
                <w:szCs w:val="28"/>
              </w:rPr>
            </w:pPr>
            <w:r>
              <w:rPr>
                <w:szCs w:val="28"/>
              </w:rPr>
              <w:t>综上所述，本项目存在一定的风险，在加强风险防范管理，建立事故风险应急对策及预案，可将风险发生概率及其产生的破环降到最低程度。</w:t>
            </w:r>
          </w:p>
          <w:p>
            <w:pPr>
              <w:ind w:firstLine="0" w:firstLineChars="0"/>
              <w:jc w:val="both"/>
              <w:rPr>
                <w:b/>
                <w:bCs/>
                <w:szCs w:val="28"/>
              </w:rPr>
            </w:pPr>
            <w:r>
              <w:rPr>
                <w:b/>
                <w:bCs/>
                <w:szCs w:val="28"/>
              </w:rPr>
              <w:t>8、退役期环境影响分析</w:t>
            </w:r>
          </w:p>
          <w:p>
            <w:pPr>
              <w:ind w:firstLine="560"/>
              <w:jc w:val="both"/>
            </w:pPr>
            <w:r>
              <w:t>项目退役期的环境影响主要有以下两方面：</w:t>
            </w:r>
          </w:p>
          <w:p>
            <w:pPr>
              <w:ind w:firstLine="560"/>
              <w:jc w:val="both"/>
            </w:pPr>
            <w:r>
              <w:t xml:space="preserve">(1)废旧设备未妥善处理造成的环境影响； </w:t>
            </w:r>
          </w:p>
          <w:p>
            <w:pPr>
              <w:ind w:firstLine="560"/>
              <w:jc w:val="both"/>
            </w:pPr>
            <w:r>
              <w:t xml:space="preserve">(2)原材料未妥善处置造成的环境影响。 </w:t>
            </w:r>
          </w:p>
          <w:p>
            <w:pPr>
              <w:ind w:firstLine="560"/>
              <w:jc w:val="both"/>
            </w:pPr>
            <w:r>
              <w:t xml:space="preserve">退役期环境影响的防治措施：  </w:t>
            </w:r>
          </w:p>
          <w:p>
            <w:pPr>
              <w:ind w:firstLine="560"/>
              <w:jc w:val="both"/>
            </w:pPr>
            <w:r>
              <w:t>(1)企业退役后，其设备处置应遵循以下两方面原则，妥善处理设备：</w:t>
            </w:r>
          </w:p>
          <w:p>
            <w:pPr>
              <w:ind w:firstLine="560"/>
              <w:jc w:val="both"/>
            </w:pPr>
            <w:r>
              <w:t>①在退役时，尚不属于行业淘汰范围的，且尚符合当时国家产业政策和地方政策的设备，可出售给相关企业；</w:t>
            </w:r>
          </w:p>
          <w:p>
            <w:pPr>
              <w:ind w:firstLine="560"/>
              <w:jc w:val="both"/>
            </w:pPr>
            <w:r>
              <w:t>②在退役时，属于行业淘汰范围、不符合当时国家产业政策和地方政策中的一种，即应予报废，设备可按废品出售给回收单位。</w:t>
            </w:r>
          </w:p>
          <w:p>
            <w:pPr>
              <w:ind w:firstLine="560"/>
              <w:jc w:val="both"/>
            </w:pPr>
            <w:r>
              <w:t>(2)原材料的处理处置：项目原材料可出售给同类企业作为原材料利用。</w:t>
            </w:r>
          </w:p>
          <w:p>
            <w:pPr>
              <w:ind w:firstLine="560"/>
              <w:jc w:val="both"/>
            </w:pPr>
            <w:r>
              <w:t>(3)退役后，若该选址不再作为其他用途，应由该企业负责进行生态修复，使生态状况得到一定的修复，防止因土壤裸露而造成水土流失。</w:t>
            </w:r>
          </w:p>
          <w:p>
            <w:pPr>
              <w:ind w:firstLine="560"/>
              <w:jc w:val="both"/>
            </w:pPr>
            <w:r>
              <w:t>若按照上述的办法进行妥善处置，本项目在退役后，不会遗留潜在的环境影响问题，不会造成新的环境污染危害。</w:t>
            </w:r>
          </w:p>
          <w:p>
            <w:pPr>
              <w:ind w:firstLine="0" w:firstLineChars="0"/>
              <w:jc w:val="both"/>
              <w:rPr>
                <w:b/>
                <w:bCs/>
                <w:szCs w:val="28"/>
              </w:rPr>
            </w:pPr>
            <w:r>
              <w:rPr>
                <w:b/>
                <w:bCs/>
                <w:szCs w:val="28"/>
              </w:rPr>
              <w:t>（二）产业政策及选址符合性分析</w:t>
            </w:r>
          </w:p>
          <w:p>
            <w:pPr>
              <w:ind w:firstLine="560"/>
              <w:jc w:val="both"/>
            </w:pPr>
            <w:r>
              <w:t>1、产业政策符合性分析</w:t>
            </w:r>
          </w:p>
          <w:p>
            <w:pPr>
              <w:ind w:firstLine="560"/>
              <w:jc w:val="both"/>
            </w:pPr>
            <w:r>
              <w:t>①本项目从事机动车燃油零售，根据《产业结构调整指导目录》（2019年本），本项目不属于限制类、淘汰类。因此，本项目建设符合国家产业政策。</w:t>
            </w:r>
          </w:p>
          <w:p>
            <w:pPr>
              <w:ind w:firstLine="560"/>
              <w:jc w:val="both"/>
              <w:rPr>
                <w:u w:val="single"/>
              </w:rPr>
            </w:pPr>
            <w:r>
              <w:rPr>
                <w:u w:val="single"/>
              </w:rPr>
              <w:t>②与《湖南省挥发性有机物污染防治三年行动实施方案》相符性分析</w:t>
            </w:r>
          </w:p>
          <w:p>
            <w:pPr>
              <w:ind w:firstLine="560"/>
              <w:jc w:val="both"/>
              <w:rPr>
                <w:u w:val="single"/>
              </w:rPr>
            </w:pPr>
            <w:r>
              <w:rPr>
                <w:u w:val="single"/>
              </w:rPr>
              <w:t>根据《湖南省挥发性有机物污染防治三年行动实施方案》中主要任务规定：全面实施石化行业达标排放；提高燃油品质，加强油气回收治理。该加油点是</w:t>
            </w:r>
            <w:r>
              <w:rPr>
                <w:rFonts w:hint="eastAsia"/>
                <w:u w:val="single"/>
              </w:rPr>
              <w:t>2016年</w:t>
            </w:r>
            <w:r>
              <w:rPr>
                <w:u w:val="single"/>
              </w:rPr>
              <w:t>安装油气回收装置的，现状监测</w:t>
            </w:r>
            <w:r>
              <w:rPr>
                <w:rFonts w:hint="eastAsia"/>
                <w:u w:val="single"/>
              </w:rPr>
              <w:t>非甲烷总烃浓度</w:t>
            </w:r>
            <w:r>
              <w:rPr>
                <w:u w:val="single"/>
              </w:rPr>
              <w:t>满足《大气污染物综合排放标准》（GB16297-2012）表2无组织排放浓度限值</w:t>
            </w:r>
            <w:r>
              <w:rPr>
                <w:rFonts w:hint="eastAsia"/>
                <w:u w:val="single"/>
              </w:rPr>
              <w:t>要求。</w:t>
            </w:r>
            <w:r>
              <w:rPr>
                <w:u w:val="single"/>
              </w:rPr>
              <w:t>说明污染物达标排放。因此，本项目建设符合国家产业政策。</w:t>
            </w:r>
          </w:p>
          <w:p>
            <w:pPr>
              <w:ind w:firstLine="560"/>
              <w:jc w:val="both"/>
            </w:pPr>
            <w:r>
              <w:t>2、选址合理性分析</w:t>
            </w:r>
          </w:p>
          <w:p>
            <w:pPr>
              <w:ind w:firstLine="560"/>
              <w:jc w:val="both"/>
            </w:pPr>
            <w:r>
              <w:t>①相关部门意见：本项目位于益阳市桃江县鲊埠回族乡鲊埠社区一里街组，符合桃江县总体布局规划，桃江县商务局、益阳市商务局对本项目成品油零售经营进行了批准，桃江县公安消防大队出具了消防验收意见书。</w:t>
            </w:r>
          </w:p>
          <w:p>
            <w:pPr>
              <w:ind w:firstLine="560"/>
              <w:jc w:val="both"/>
            </w:pPr>
            <w:r>
              <w:t>②基础设施：项目所在地所在区域基础设施建设日臻完善，给排水、供电等服务体系健全。</w:t>
            </w:r>
          </w:p>
          <w:p>
            <w:pPr>
              <w:ind w:firstLine="560"/>
              <w:jc w:val="both"/>
            </w:pPr>
            <w:r>
              <w:t>③地理位置：项目所在地西面为G207，交通比较便利。项目储罐等主要装置与周边环境距离符合《汽车加油加气站设计与施工规范》（GB50156-2012）（2014年版）和《建筑设计防火规范》（GB50016-2014）（2018年版）等标准的要求。</w:t>
            </w:r>
          </w:p>
          <w:p>
            <w:pPr>
              <w:ind w:firstLine="560"/>
              <w:jc w:val="both"/>
            </w:pPr>
            <w:r>
              <w:t>综上所述，本项目选址比较合理。</w:t>
            </w:r>
          </w:p>
          <w:p>
            <w:pPr>
              <w:ind w:firstLine="0" w:firstLineChars="0"/>
              <w:jc w:val="both"/>
              <w:rPr>
                <w:b/>
                <w:bCs/>
                <w:szCs w:val="28"/>
              </w:rPr>
            </w:pPr>
            <w:r>
              <w:rPr>
                <w:b/>
                <w:bCs/>
                <w:szCs w:val="28"/>
              </w:rPr>
              <w:t>（三）项目环境可行性分析</w:t>
            </w:r>
          </w:p>
          <w:p>
            <w:pPr>
              <w:ind w:firstLine="560"/>
              <w:jc w:val="both"/>
              <w:rPr>
                <w:szCs w:val="28"/>
              </w:rPr>
            </w:pPr>
            <w:r>
              <w:rPr>
                <w:szCs w:val="28"/>
              </w:rPr>
              <w:t>从环境质量现状监测数据及引用数据可知，项目所在区域环境空气、地表水、地下水、噪声质量良好，各项监测因子均满足区域环境功能区划要求。区域内无自然保护区和重点文物保护单位，未发现受国家和省、市级保护的濒危珍稀野生动植物物种。项目建设与运行过程中对区域环境的影响较轻，符合区域环境功能区划要求。</w:t>
            </w:r>
          </w:p>
          <w:p>
            <w:pPr>
              <w:ind w:firstLine="0" w:firstLineChars="0"/>
              <w:jc w:val="both"/>
              <w:rPr>
                <w:szCs w:val="28"/>
              </w:rPr>
            </w:pPr>
            <w:r>
              <w:rPr>
                <w:b/>
                <w:bCs/>
                <w:szCs w:val="28"/>
              </w:rPr>
              <w:t>（四）平面布局合理性分析</w:t>
            </w:r>
          </w:p>
          <w:p>
            <w:pPr>
              <w:ind w:firstLine="560"/>
              <w:jc w:val="both"/>
            </w:pPr>
            <w:r>
              <w:t>本项目的主体工程为加油区（包括加油</w:t>
            </w:r>
            <w:r>
              <w:rPr>
                <w:rFonts w:hint="eastAsia"/>
              </w:rPr>
              <w:t>点</w:t>
            </w:r>
            <w:r>
              <w:t>罩棚、4个加油岛，4台加油机（其中2台停用），4个加油枪（其中2个封枪）、油罐区（包括4个卧式双层地埋卧式储油罐，其中2个已闲置）、站房（主要作为营业厅、办公室、休息室），辅助工程为消防砂池、厕所。站区</w:t>
            </w:r>
            <w:r>
              <w:rPr>
                <w:rFonts w:hint="eastAsia"/>
              </w:rPr>
              <w:t>北</w:t>
            </w:r>
            <w:r>
              <w:t>面靠</w:t>
            </w:r>
            <w:r>
              <w:rPr>
                <w:rFonts w:hint="eastAsia"/>
              </w:rPr>
              <w:t>乡道</w:t>
            </w:r>
            <w:r>
              <w:t>设置出入口。加油</w:t>
            </w:r>
            <w:r>
              <w:rPr>
                <w:rFonts w:hint="eastAsia"/>
              </w:rPr>
              <w:t>点</w:t>
            </w:r>
            <w:r>
              <w:t>严格按照《汽车加油加气站设计与施工规范（2014年局部修订）》（GB50156-2012）和《建筑设计防火规范》（GB50016-2014）中要求进行设计和施工，平面布局符合相关规范要求，平面布局合理可行。</w:t>
            </w:r>
          </w:p>
          <w:p>
            <w:pPr>
              <w:ind w:firstLine="0" w:firstLineChars="0"/>
              <w:jc w:val="both"/>
              <w:rPr>
                <w:b/>
                <w:bCs/>
                <w:szCs w:val="28"/>
              </w:rPr>
            </w:pPr>
            <w:r>
              <w:rPr>
                <w:b/>
                <w:bCs/>
                <w:szCs w:val="28"/>
              </w:rPr>
              <w:t>（五）“三线一单”相符性分析</w:t>
            </w:r>
          </w:p>
          <w:p>
            <w:pPr>
              <w:ind w:firstLine="560"/>
              <w:jc w:val="both"/>
            </w:pPr>
            <w:r>
              <w:t>生态保护红线：本项目位于益阳市桃江县鲊埠回族乡鲊埠社区一里街组靠近集镇，不涉及桃江县生态保护红线。根据桃江县生态红线保护范围，本项目所属区域不涉及生态保护红线；</w:t>
            </w:r>
          </w:p>
          <w:p>
            <w:pPr>
              <w:ind w:firstLine="560"/>
              <w:jc w:val="both"/>
              <w:rPr>
                <w:u w:val="single"/>
              </w:rPr>
            </w:pPr>
            <w:r>
              <w:t>环境质量底线：</w:t>
            </w:r>
            <w:r>
              <w:rPr>
                <w:u w:val="single"/>
              </w:rPr>
              <w:t>本项目规模较小，污染物排放量较少，通过采取油气回收、双层油罐防渗漏等措施后污染物排放可得到较好控制，不会触及环境质量底线。</w:t>
            </w:r>
          </w:p>
          <w:p>
            <w:pPr>
              <w:ind w:firstLine="560"/>
              <w:jc w:val="both"/>
            </w:pPr>
            <w:r>
              <w:t>资源利用上线：本项目消耗的能源不大，用水较小，项目建设不会突破地区能源、水、土地等资源消耗上线，不触及资源利用上线。</w:t>
            </w:r>
          </w:p>
          <w:p>
            <w:pPr>
              <w:ind w:firstLine="560"/>
              <w:jc w:val="both"/>
            </w:pPr>
            <w:r>
              <w:t>负面清单：桃江县暂未制定负面清单，本项目符合《产业结构调整指导目录（2019年本），项目为机动车燃油零售，不属于限制类、淘汰类。因此，本项目建设符合国家产业政策。</w:t>
            </w:r>
          </w:p>
          <w:p>
            <w:pPr>
              <w:ind w:firstLine="0" w:firstLineChars="0"/>
              <w:jc w:val="both"/>
              <w:rPr>
                <w:b/>
                <w:bCs/>
              </w:rPr>
            </w:pPr>
            <w:r>
              <w:rPr>
                <w:b/>
                <w:bCs/>
              </w:rPr>
              <w:t>（六）总量控制因子</w:t>
            </w:r>
          </w:p>
          <w:p>
            <w:pPr>
              <w:pStyle w:val="25"/>
              <w:spacing w:after="0"/>
              <w:ind w:left="0" w:leftChars="0" w:firstLine="0" w:firstLineChars="0"/>
              <w:jc w:val="both"/>
              <w:rPr>
                <w:b/>
                <w:bCs/>
                <w:szCs w:val="28"/>
              </w:rPr>
            </w:pPr>
            <w:r>
              <w:t>根据本工程的具体情况，结合国家污染物排放总量控制原则，</w:t>
            </w:r>
            <w:r>
              <w:rPr>
                <w:rFonts w:hint="eastAsia"/>
              </w:rPr>
              <w:t>建议总量控制指标为VOC：</w:t>
            </w:r>
            <w:r>
              <w:rPr>
                <w:rFonts w:hint="eastAsia" w:ascii="Times New Roman" w:hAnsi="Times New Roman" w:cs="Times New Roman"/>
                <w:szCs w:val="28"/>
                <w:lang w:val="en-US" w:eastAsia="zh-CN"/>
              </w:rPr>
              <w:t>28.9044</w:t>
            </w:r>
            <w:r>
              <w:rPr>
                <w:szCs w:val="28"/>
              </w:rPr>
              <w:t>kg/a</w:t>
            </w:r>
          </w:p>
          <w:p>
            <w:pPr>
              <w:ind w:firstLine="560"/>
              <w:jc w:val="both"/>
            </w:pPr>
            <w:r>
              <w:t>为了加强环境保护工作，单位应建立一套完善的环境管理体制。环境保护管理机构的基本任务是负责本公司日常环境管理，贯彻执行环保法规和制定企业环保规划及规章制度，推广应用环保先进技术，组织环境监测等工作，其主要职责是：</w:t>
            </w:r>
          </w:p>
          <w:p>
            <w:pPr>
              <w:ind w:firstLine="560"/>
              <w:jc w:val="both"/>
            </w:pPr>
            <w:r>
              <w:t>（1）贯彻执行国家和地方的环保法规和政策，组织环境保护宣传教育和技术培训。</w:t>
            </w:r>
          </w:p>
          <w:p>
            <w:pPr>
              <w:ind w:firstLine="560"/>
              <w:jc w:val="both"/>
            </w:pPr>
            <w:r>
              <w:t>（2）建立健全各项环境保护规章、制度、办法和环保档案，包括环评报告、环保工程验收报告、污染源监测报告、环保设备运行记录及其它环境统计资料，以掌握企业污染现状，定期向环境保护主管部门汇报；制定公司环境保护规划，提出环境保护目标。</w:t>
            </w:r>
          </w:p>
          <w:p>
            <w:pPr>
              <w:ind w:firstLine="560"/>
              <w:jc w:val="both"/>
            </w:pPr>
            <w:r>
              <w:t>（3）建立向有关部门获取环保法规的信息渠道，做到上传下达，增强环保意识。</w:t>
            </w:r>
          </w:p>
          <w:p>
            <w:pPr>
              <w:ind w:firstLine="560"/>
              <w:jc w:val="both"/>
            </w:pPr>
            <w:r>
              <w:t>（4）加强设备管理和维护，保障环保设施正常运行，保证达标排放，尽可能减少非正常排放的发生。</w:t>
            </w:r>
          </w:p>
          <w:p>
            <w:pPr>
              <w:ind w:firstLine="560"/>
              <w:jc w:val="both"/>
            </w:pPr>
            <w:r>
              <w:t>（5）组织环境监测和污染源调查，建立公司污染源档案，掌握公司排污情况，为企业决策提供依据。</w:t>
            </w:r>
          </w:p>
          <w:p>
            <w:pPr>
              <w:ind w:firstLine="560"/>
              <w:jc w:val="both"/>
            </w:pPr>
            <w:r>
              <w:t>因此，项目应严格环境管理，避免运营过程中因管理不到位对环境造成影响。</w:t>
            </w:r>
          </w:p>
          <w:p>
            <w:pPr>
              <w:ind w:firstLine="560"/>
              <w:jc w:val="both"/>
            </w:pPr>
            <w:r>
              <w:t>2、环境监测</w:t>
            </w:r>
          </w:p>
          <w:p>
            <w:pPr>
              <w:pStyle w:val="47"/>
              <w:spacing w:line="240" w:lineRule="auto"/>
              <w:ind w:firstLine="422"/>
              <w:rPr>
                <w:rFonts w:hint="default" w:eastAsia="仿宋"/>
                <w:szCs w:val="21"/>
              </w:rPr>
            </w:pPr>
            <w:r>
              <w:rPr>
                <w:rFonts w:hint="default" w:eastAsia="仿宋"/>
                <w:szCs w:val="21"/>
              </w:rPr>
              <w:t>表7-8  环境监测计划一览表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764"/>
              <w:gridCol w:w="1905"/>
              <w:gridCol w:w="656"/>
              <w:gridCol w:w="2540"/>
              <w:gridCol w:w="1589"/>
              <w:gridCol w:w="6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tcBorders>
                    <w:tl2br w:val="nil"/>
                    <w:tr2bl w:val="nil"/>
                  </w:tcBorders>
                  <w:shd w:val="clear" w:color="auto" w:fill="auto"/>
                  <w:vAlign w:val="center"/>
                </w:tcPr>
                <w:p>
                  <w:pPr>
                    <w:spacing w:line="240" w:lineRule="auto"/>
                    <w:ind w:firstLine="0" w:firstLineChars="0"/>
                    <w:jc w:val="center"/>
                    <w:rPr>
                      <w:b/>
                    </w:rPr>
                  </w:pPr>
                  <w:r>
                    <w:rPr>
                      <w:b/>
                      <w:sz w:val="21"/>
                    </w:rPr>
                    <w:t>序号</w:t>
                  </w:r>
                </w:p>
              </w:tc>
              <w:tc>
                <w:tcPr>
                  <w:tcW w:w="764" w:type="dxa"/>
                  <w:tcBorders>
                    <w:tl2br w:val="nil"/>
                    <w:tr2bl w:val="nil"/>
                  </w:tcBorders>
                  <w:shd w:val="clear" w:color="auto" w:fill="auto"/>
                  <w:vAlign w:val="center"/>
                </w:tcPr>
                <w:p>
                  <w:pPr>
                    <w:spacing w:line="240" w:lineRule="auto"/>
                    <w:ind w:firstLine="0" w:firstLineChars="0"/>
                    <w:jc w:val="center"/>
                    <w:rPr>
                      <w:b/>
                    </w:rPr>
                  </w:pPr>
                  <w:r>
                    <w:rPr>
                      <w:b/>
                      <w:sz w:val="21"/>
                    </w:rPr>
                    <w:t>污染源名称</w:t>
                  </w:r>
                </w:p>
              </w:tc>
              <w:tc>
                <w:tcPr>
                  <w:tcW w:w="1905" w:type="dxa"/>
                  <w:tcBorders>
                    <w:tl2br w:val="nil"/>
                    <w:tr2bl w:val="nil"/>
                  </w:tcBorders>
                  <w:shd w:val="clear" w:color="auto" w:fill="auto"/>
                  <w:vAlign w:val="center"/>
                </w:tcPr>
                <w:p>
                  <w:pPr>
                    <w:spacing w:line="240" w:lineRule="auto"/>
                    <w:ind w:firstLine="0" w:firstLineChars="0"/>
                    <w:jc w:val="center"/>
                    <w:rPr>
                      <w:b/>
                    </w:rPr>
                  </w:pPr>
                  <w:r>
                    <w:rPr>
                      <w:b/>
                      <w:sz w:val="21"/>
                    </w:rPr>
                    <w:t>监测位置</w:t>
                  </w:r>
                </w:p>
              </w:tc>
              <w:tc>
                <w:tcPr>
                  <w:tcW w:w="656" w:type="dxa"/>
                  <w:tcBorders>
                    <w:tl2br w:val="nil"/>
                    <w:tr2bl w:val="nil"/>
                  </w:tcBorders>
                  <w:shd w:val="clear" w:color="auto" w:fill="auto"/>
                  <w:vAlign w:val="center"/>
                </w:tcPr>
                <w:p>
                  <w:pPr>
                    <w:spacing w:line="240" w:lineRule="auto"/>
                    <w:ind w:firstLine="0" w:firstLineChars="0"/>
                    <w:jc w:val="center"/>
                    <w:rPr>
                      <w:b/>
                    </w:rPr>
                  </w:pPr>
                  <w:r>
                    <w:rPr>
                      <w:b/>
                      <w:sz w:val="21"/>
                    </w:rPr>
                    <w:t>监测项目</w:t>
                  </w:r>
                </w:p>
              </w:tc>
              <w:tc>
                <w:tcPr>
                  <w:tcW w:w="2540" w:type="dxa"/>
                  <w:tcBorders>
                    <w:tl2br w:val="nil"/>
                    <w:tr2bl w:val="nil"/>
                  </w:tcBorders>
                  <w:shd w:val="clear" w:color="auto" w:fill="auto"/>
                  <w:vAlign w:val="center"/>
                </w:tcPr>
                <w:p>
                  <w:pPr>
                    <w:spacing w:line="240" w:lineRule="auto"/>
                    <w:ind w:firstLine="0" w:firstLineChars="0"/>
                    <w:jc w:val="center"/>
                    <w:rPr>
                      <w:b/>
                    </w:rPr>
                  </w:pPr>
                  <w:r>
                    <w:rPr>
                      <w:b/>
                      <w:sz w:val="21"/>
                    </w:rPr>
                    <w:t>执行标准</w:t>
                  </w:r>
                </w:p>
              </w:tc>
              <w:tc>
                <w:tcPr>
                  <w:tcW w:w="1589" w:type="dxa"/>
                  <w:tcBorders>
                    <w:tl2br w:val="nil"/>
                    <w:tr2bl w:val="nil"/>
                  </w:tcBorders>
                  <w:shd w:val="clear" w:color="auto" w:fill="auto"/>
                  <w:vAlign w:val="center"/>
                </w:tcPr>
                <w:p>
                  <w:pPr>
                    <w:spacing w:line="240" w:lineRule="auto"/>
                    <w:ind w:firstLine="0" w:firstLineChars="0"/>
                    <w:jc w:val="center"/>
                    <w:rPr>
                      <w:b/>
                    </w:rPr>
                  </w:pPr>
                  <w:r>
                    <w:rPr>
                      <w:b/>
                      <w:sz w:val="21"/>
                    </w:rPr>
                    <w:t>监测分析方法和仪器</w:t>
                  </w:r>
                </w:p>
              </w:tc>
              <w:tc>
                <w:tcPr>
                  <w:tcW w:w="650" w:type="dxa"/>
                  <w:tcBorders>
                    <w:tl2br w:val="nil"/>
                    <w:tr2bl w:val="nil"/>
                  </w:tcBorders>
                  <w:shd w:val="clear" w:color="auto" w:fill="auto"/>
                  <w:vAlign w:val="center"/>
                </w:tcPr>
                <w:p>
                  <w:pPr>
                    <w:spacing w:line="240" w:lineRule="auto"/>
                    <w:ind w:firstLine="0" w:firstLineChars="0"/>
                    <w:jc w:val="center"/>
                    <w:rPr>
                      <w:b/>
                    </w:rPr>
                  </w:pPr>
                  <w:r>
                    <w:rPr>
                      <w:b/>
                      <w:sz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06" w:type="dxa"/>
                  <w:vMerge w:val="restart"/>
                  <w:tcBorders>
                    <w:tl2br w:val="nil"/>
                    <w:tr2bl w:val="nil"/>
                  </w:tcBorders>
                  <w:shd w:val="clear" w:color="auto" w:fill="auto"/>
                  <w:vAlign w:val="center"/>
                </w:tcPr>
                <w:p>
                  <w:pPr>
                    <w:spacing w:line="240" w:lineRule="auto"/>
                    <w:ind w:firstLine="0" w:firstLineChars="0"/>
                    <w:jc w:val="center"/>
                    <w:rPr>
                      <w:b/>
                    </w:rPr>
                  </w:pPr>
                  <w:r>
                    <w:rPr>
                      <w:b/>
                      <w:sz w:val="21"/>
                    </w:rPr>
                    <w:t>1</w:t>
                  </w:r>
                </w:p>
              </w:tc>
              <w:tc>
                <w:tcPr>
                  <w:tcW w:w="764" w:type="dxa"/>
                  <w:vMerge w:val="restart"/>
                  <w:tcBorders>
                    <w:tl2br w:val="nil"/>
                    <w:tr2bl w:val="nil"/>
                  </w:tcBorders>
                  <w:shd w:val="clear" w:color="auto" w:fill="auto"/>
                  <w:vAlign w:val="center"/>
                </w:tcPr>
                <w:p>
                  <w:pPr>
                    <w:spacing w:line="240" w:lineRule="auto"/>
                    <w:ind w:firstLine="0" w:firstLineChars="0"/>
                    <w:jc w:val="center"/>
                    <w:rPr>
                      <w:b/>
                    </w:rPr>
                  </w:pPr>
                  <w:r>
                    <w:rPr>
                      <w:b/>
                      <w:sz w:val="21"/>
                    </w:rPr>
                    <w:t>废气</w:t>
                  </w: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点东</w:t>
                  </w:r>
                  <w:r>
                    <w:rPr>
                      <w:bCs/>
                      <w:sz w:val="21"/>
                    </w:rPr>
                    <w:t>北侧3m</w:t>
                  </w:r>
                </w:p>
              </w:tc>
              <w:tc>
                <w:tcPr>
                  <w:tcW w:w="656"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非甲烷总烃</w:t>
                  </w:r>
                </w:p>
              </w:tc>
              <w:tc>
                <w:tcPr>
                  <w:tcW w:w="254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《大气污染物综合排放标准》（GB 16297-1996）表2</w:t>
                  </w:r>
                </w:p>
              </w:tc>
              <w:tc>
                <w:tcPr>
                  <w:tcW w:w="1589"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气相色谱法（GB/T 18883-2002）/气象色谱仪</w:t>
                  </w:r>
                </w:p>
              </w:tc>
              <w:tc>
                <w:tcPr>
                  <w:tcW w:w="65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1次/a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764"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点西</w:t>
                  </w:r>
                  <w:r>
                    <w:rPr>
                      <w:bCs/>
                      <w:sz w:val="21"/>
                    </w:rPr>
                    <w:t>南侧3m</w:t>
                  </w:r>
                </w:p>
              </w:tc>
              <w:tc>
                <w:tcPr>
                  <w:tcW w:w="656"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2540"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1589"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650" w:type="dxa"/>
                  <w:vMerge w:val="continue"/>
                  <w:tcBorders>
                    <w:tl2br w:val="nil"/>
                    <w:tr2bl w:val="nil"/>
                  </w:tcBorders>
                  <w:shd w:val="clear" w:color="auto" w:fill="auto"/>
                  <w:vAlign w:val="center"/>
                </w:tcPr>
                <w:p>
                  <w:pPr>
                    <w:spacing w:line="240" w:lineRule="auto"/>
                    <w:ind w:firstLine="0" w:firstLineChars="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vMerge w:val="restart"/>
                  <w:tcBorders>
                    <w:tl2br w:val="nil"/>
                    <w:tr2bl w:val="nil"/>
                  </w:tcBorders>
                  <w:shd w:val="clear" w:color="auto" w:fill="auto"/>
                  <w:vAlign w:val="center"/>
                </w:tcPr>
                <w:p>
                  <w:pPr>
                    <w:spacing w:line="240" w:lineRule="auto"/>
                    <w:ind w:firstLine="0" w:firstLineChars="0"/>
                    <w:jc w:val="center"/>
                    <w:rPr>
                      <w:b/>
                    </w:rPr>
                  </w:pPr>
                  <w:r>
                    <w:rPr>
                      <w:b/>
                      <w:sz w:val="21"/>
                    </w:rPr>
                    <w:t>2</w:t>
                  </w:r>
                </w:p>
              </w:tc>
              <w:tc>
                <w:tcPr>
                  <w:tcW w:w="764" w:type="dxa"/>
                  <w:vMerge w:val="restart"/>
                  <w:tcBorders>
                    <w:tl2br w:val="nil"/>
                    <w:tr2bl w:val="nil"/>
                  </w:tcBorders>
                  <w:shd w:val="clear" w:color="auto" w:fill="auto"/>
                  <w:vAlign w:val="center"/>
                </w:tcPr>
                <w:p>
                  <w:pPr>
                    <w:spacing w:line="240" w:lineRule="auto"/>
                    <w:ind w:firstLine="0" w:firstLineChars="0"/>
                    <w:jc w:val="center"/>
                    <w:rPr>
                      <w:b/>
                    </w:rPr>
                  </w:pPr>
                  <w:r>
                    <w:rPr>
                      <w:b/>
                      <w:sz w:val="21"/>
                    </w:rPr>
                    <w:t>噪声</w:t>
                  </w: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w:t>
                  </w:r>
                  <w:r>
                    <w:rPr>
                      <w:bCs/>
                      <w:sz w:val="21"/>
                    </w:rPr>
                    <w:t>东侧1m</w:t>
                  </w:r>
                </w:p>
              </w:tc>
              <w:tc>
                <w:tcPr>
                  <w:tcW w:w="656"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等效A声级</w:t>
                  </w:r>
                </w:p>
              </w:tc>
              <w:tc>
                <w:tcPr>
                  <w:tcW w:w="254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《工业企业厂界环境噪声排放2类标准》（GB12348-2008）</w:t>
                  </w:r>
                </w:p>
              </w:tc>
              <w:tc>
                <w:tcPr>
                  <w:tcW w:w="1589"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《声环境质量标准》（GB 3096-2008）中推荐方法/多功能声级计</w:t>
                  </w:r>
                </w:p>
              </w:tc>
              <w:tc>
                <w:tcPr>
                  <w:tcW w:w="65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1次/a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764"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w:t>
                  </w:r>
                  <w:r>
                    <w:rPr>
                      <w:bCs/>
                      <w:sz w:val="21"/>
                    </w:rPr>
                    <w:t>南侧1m</w:t>
                  </w:r>
                </w:p>
              </w:tc>
              <w:tc>
                <w:tcPr>
                  <w:tcW w:w="656"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2540"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1589"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650" w:type="dxa"/>
                  <w:vMerge w:val="continue"/>
                  <w:tcBorders>
                    <w:tl2br w:val="nil"/>
                    <w:tr2bl w:val="nil"/>
                  </w:tcBorders>
                  <w:shd w:val="clear" w:color="auto" w:fill="auto"/>
                  <w:vAlign w:val="center"/>
                </w:tcPr>
                <w:p>
                  <w:pPr>
                    <w:spacing w:line="240" w:lineRule="auto"/>
                    <w:ind w:firstLine="0" w:firstLineChars="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764"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w:t>
                  </w:r>
                  <w:r>
                    <w:rPr>
                      <w:bCs/>
                      <w:sz w:val="21"/>
                    </w:rPr>
                    <w:t>西侧1m</w:t>
                  </w:r>
                </w:p>
              </w:tc>
              <w:tc>
                <w:tcPr>
                  <w:tcW w:w="656"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2540"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1589"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650" w:type="dxa"/>
                  <w:vMerge w:val="continue"/>
                  <w:tcBorders>
                    <w:tl2br w:val="nil"/>
                    <w:tr2bl w:val="nil"/>
                  </w:tcBorders>
                  <w:shd w:val="clear" w:color="auto" w:fill="auto"/>
                  <w:vAlign w:val="center"/>
                </w:tcPr>
                <w:p>
                  <w:pPr>
                    <w:spacing w:line="240" w:lineRule="auto"/>
                    <w:ind w:firstLine="0" w:firstLineChars="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764" w:type="dxa"/>
                  <w:vMerge w:val="continue"/>
                  <w:tcBorders>
                    <w:tl2br w:val="nil"/>
                    <w:tr2bl w:val="nil"/>
                  </w:tcBorders>
                  <w:shd w:val="clear" w:color="auto" w:fill="auto"/>
                  <w:vAlign w:val="center"/>
                </w:tcPr>
                <w:p>
                  <w:pPr>
                    <w:spacing w:line="240" w:lineRule="auto"/>
                    <w:ind w:firstLine="0" w:firstLineChars="0"/>
                    <w:rPr>
                      <w:b/>
                      <w:sz w:val="20"/>
                      <w:szCs w:val="20"/>
                    </w:rPr>
                  </w:pP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加油</w:t>
                  </w:r>
                  <w:r>
                    <w:rPr>
                      <w:rFonts w:hint="eastAsia"/>
                      <w:bCs/>
                      <w:sz w:val="21"/>
                    </w:rPr>
                    <w:t>点</w:t>
                  </w:r>
                  <w:r>
                    <w:rPr>
                      <w:bCs/>
                      <w:sz w:val="21"/>
                    </w:rPr>
                    <w:t>北侧1m</w:t>
                  </w:r>
                </w:p>
              </w:tc>
              <w:tc>
                <w:tcPr>
                  <w:tcW w:w="656"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2540"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1589" w:type="dxa"/>
                  <w:vMerge w:val="continue"/>
                  <w:tcBorders>
                    <w:tl2br w:val="nil"/>
                    <w:tr2bl w:val="nil"/>
                  </w:tcBorders>
                  <w:shd w:val="clear" w:color="auto" w:fill="auto"/>
                  <w:vAlign w:val="center"/>
                </w:tcPr>
                <w:p>
                  <w:pPr>
                    <w:spacing w:line="240" w:lineRule="auto"/>
                    <w:ind w:firstLine="0" w:firstLineChars="0"/>
                    <w:rPr>
                      <w:sz w:val="20"/>
                      <w:szCs w:val="20"/>
                    </w:rPr>
                  </w:pPr>
                </w:p>
              </w:tc>
              <w:tc>
                <w:tcPr>
                  <w:tcW w:w="650" w:type="dxa"/>
                  <w:vMerge w:val="continue"/>
                  <w:tcBorders>
                    <w:tl2br w:val="nil"/>
                    <w:tr2bl w:val="nil"/>
                  </w:tcBorders>
                  <w:shd w:val="clear" w:color="auto" w:fill="auto"/>
                  <w:vAlign w:val="center"/>
                </w:tcPr>
                <w:p>
                  <w:pPr>
                    <w:spacing w:line="240" w:lineRule="auto"/>
                    <w:ind w:firstLine="0" w:firstLineChars="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6" w:type="dxa"/>
                  <w:tcBorders>
                    <w:tl2br w:val="nil"/>
                    <w:tr2bl w:val="nil"/>
                  </w:tcBorders>
                  <w:shd w:val="clear" w:color="auto" w:fill="auto"/>
                  <w:vAlign w:val="center"/>
                </w:tcPr>
                <w:p>
                  <w:pPr>
                    <w:spacing w:line="240" w:lineRule="auto"/>
                    <w:ind w:firstLine="0" w:firstLineChars="0"/>
                    <w:jc w:val="center"/>
                    <w:rPr>
                      <w:b/>
                    </w:rPr>
                  </w:pPr>
                  <w:r>
                    <w:rPr>
                      <w:b/>
                      <w:sz w:val="21"/>
                    </w:rPr>
                    <w:t>3</w:t>
                  </w:r>
                </w:p>
              </w:tc>
              <w:tc>
                <w:tcPr>
                  <w:tcW w:w="764" w:type="dxa"/>
                  <w:tcBorders>
                    <w:tl2br w:val="nil"/>
                    <w:tr2bl w:val="nil"/>
                  </w:tcBorders>
                  <w:shd w:val="clear" w:color="auto" w:fill="auto"/>
                  <w:vAlign w:val="center"/>
                </w:tcPr>
                <w:p>
                  <w:pPr>
                    <w:spacing w:line="240" w:lineRule="auto"/>
                    <w:ind w:firstLine="0" w:firstLineChars="0"/>
                    <w:jc w:val="center"/>
                    <w:rPr>
                      <w:b/>
                    </w:rPr>
                  </w:pPr>
                  <w:r>
                    <w:rPr>
                      <w:b/>
                      <w:sz w:val="21"/>
                    </w:rPr>
                    <w:t>废水</w:t>
                  </w:r>
                </w:p>
              </w:tc>
              <w:tc>
                <w:tcPr>
                  <w:tcW w:w="1905" w:type="dxa"/>
                  <w:tcBorders>
                    <w:tl2br w:val="nil"/>
                    <w:tr2bl w:val="nil"/>
                  </w:tcBorders>
                  <w:shd w:val="clear" w:color="auto" w:fill="auto"/>
                  <w:vAlign w:val="center"/>
                </w:tcPr>
                <w:p>
                  <w:pPr>
                    <w:spacing w:line="240" w:lineRule="auto"/>
                    <w:ind w:firstLine="0" w:firstLineChars="0"/>
                    <w:jc w:val="center"/>
                    <w:rPr>
                      <w:bCs/>
                    </w:rPr>
                  </w:pPr>
                  <w:r>
                    <w:rPr>
                      <w:bCs/>
                      <w:sz w:val="21"/>
                    </w:rPr>
                    <w:t>隔油池出水口</w:t>
                  </w:r>
                </w:p>
              </w:tc>
              <w:tc>
                <w:tcPr>
                  <w:tcW w:w="656" w:type="dxa"/>
                  <w:tcBorders>
                    <w:tl2br w:val="nil"/>
                    <w:tr2bl w:val="nil"/>
                  </w:tcBorders>
                  <w:shd w:val="clear" w:color="auto" w:fill="auto"/>
                  <w:vAlign w:val="center"/>
                </w:tcPr>
                <w:p>
                  <w:pPr>
                    <w:spacing w:line="240" w:lineRule="auto"/>
                    <w:ind w:firstLine="0" w:firstLineChars="0"/>
                    <w:jc w:val="center"/>
                    <w:rPr>
                      <w:bCs/>
                    </w:rPr>
                  </w:pPr>
                  <w:r>
                    <w:rPr>
                      <w:bCs/>
                      <w:sz w:val="21"/>
                    </w:rPr>
                    <w:t>石油类</w:t>
                  </w:r>
                </w:p>
              </w:tc>
              <w:tc>
                <w:tcPr>
                  <w:tcW w:w="2540" w:type="dxa"/>
                  <w:tcBorders>
                    <w:tl2br w:val="nil"/>
                    <w:tr2bl w:val="nil"/>
                  </w:tcBorders>
                  <w:shd w:val="clear" w:color="auto" w:fill="auto"/>
                  <w:vAlign w:val="center"/>
                </w:tcPr>
                <w:p>
                  <w:pPr>
                    <w:spacing w:line="240" w:lineRule="auto"/>
                    <w:ind w:firstLine="0" w:firstLineChars="0"/>
                    <w:jc w:val="center"/>
                    <w:rPr>
                      <w:bCs/>
                    </w:rPr>
                  </w:pPr>
                  <w:r>
                    <w:rPr>
                      <w:rFonts w:hint="eastAsia"/>
                      <w:bCs/>
                      <w:sz w:val="21"/>
                    </w:rPr>
                    <w:t>\</w:t>
                  </w:r>
                </w:p>
              </w:tc>
              <w:tc>
                <w:tcPr>
                  <w:tcW w:w="1589" w:type="dxa"/>
                  <w:tcBorders>
                    <w:tl2br w:val="nil"/>
                    <w:tr2bl w:val="nil"/>
                  </w:tcBorders>
                  <w:shd w:val="clear" w:color="auto" w:fill="auto"/>
                  <w:vAlign w:val="center"/>
                </w:tcPr>
                <w:p>
                  <w:pPr>
                    <w:spacing w:line="240" w:lineRule="auto"/>
                    <w:ind w:firstLine="0" w:firstLineChars="0"/>
                    <w:jc w:val="center"/>
                    <w:rPr>
                      <w:bCs/>
                    </w:rPr>
                  </w:pPr>
                  <w:r>
                    <w:rPr>
                      <w:bCs/>
                      <w:sz w:val="21"/>
                    </w:rPr>
                    <w:t>紫外分光光度法（HJ 970-2018）/紫外分光光度计</w:t>
                  </w:r>
                </w:p>
              </w:tc>
              <w:tc>
                <w:tcPr>
                  <w:tcW w:w="650" w:type="dxa"/>
                  <w:tcBorders>
                    <w:tl2br w:val="nil"/>
                    <w:tr2bl w:val="nil"/>
                  </w:tcBorders>
                  <w:shd w:val="clear" w:color="auto" w:fill="auto"/>
                  <w:vAlign w:val="center"/>
                </w:tcPr>
                <w:p>
                  <w:pPr>
                    <w:spacing w:line="240" w:lineRule="auto"/>
                    <w:ind w:firstLine="0" w:firstLineChars="0"/>
                    <w:jc w:val="center"/>
                    <w:rPr>
                      <w:bCs/>
                    </w:rPr>
                  </w:pPr>
                  <w:r>
                    <w:rPr>
                      <w:bCs/>
                      <w:sz w:val="21"/>
                    </w:rPr>
                    <w:t>1次/a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06" w:type="dxa"/>
                  <w:vMerge w:val="restart"/>
                  <w:tcBorders>
                    <w:tl2br w:val="nil"/>
                    <w:tr2bl w:val="nil"/>
                  </w:tcBorders>
                  <w:shd w:val="clear" w:color="auto" w:fill="auto"/>
                  <w:vAlign w:val="center"/>
                </w:tcPr>
                <w:p>
                  <w:pPr>
                    <w:spacing w:line="240" w:lineRule="auto"/>
                    <w:ind w:firstLine="0" w:firstLineChars="0"/>
                    <w:jc w:val="center"/>
                    <w:rPr>
                      <w:b/>
                    </w:rPr>
                  </w:pPr>
                  <w:r>
                    <w:rPr>
                      <w:b/>
                      <w:sz w:val="21"/>
                    </w:rPr>
                    <w:t>4</w:t>
                  </w:r>
                </w:p>
              </w:tc>
              <w:tc>
                <w:tcPr>
                  <w:tcW w:w="764" w:type="dxa"/>
                  <w:vMerge w:val="restart"/>
                  <w:tcBorders>
                    <w:tl2br w:val="nil"/>
                    <w:tr2bl w:val="nil"/>
                  </w:tcBorders>
                  <w:shd w:val="clear" w:color="auto" w:fill="auto"/>
                  <w:vAlign w:val="center"/>
                </w:tcPr>
                <w:p>
                  <w:pPr>
                    <w:spacing w:line="240" w:lineRule="auto"/>
                    <w:ind w:firstLine="0" w:firstLineChars="0"/>
                    <w:jc w:val="center"/>
                    <w:rPr>
                      <w:b/>
                    </w:rPr>
                  </w:pPr>
                  <w:r>
                    <w:rPr>
                      <w:b/>
                      <w:sz w:val="21"/>
                    </w:rPr>
                    <w:t>地下水环境</w:t>
                  </w:r>
                </w:p>
              </w:tc>
              <w:tc>
                <w:tcPr>
                  <w:tcW w:w="1905" w:type="dxa"/>
                  <w:tcBorders>
                    <w:tl2br w:val="nil"/>
                    <w:tr2bl w:val="nil"/>
                  </w:tcBorders>
                  <w:shd w:val="clear" w:color="auto" w:fill="auto"/>
                  <w:vAlign w:val="center"/>
                </w:tcPr>
                <w:p>
                  <w:pPr>
                    <w:spacing w:line="240" w:lineRule="auto"/>
                    <w:ind w:firstLine="0" w:firstLineChars="0"/>
                    <w:jc w:val="center"/>
                    <w:rPr>
                      <w:bCs/>
                    </w:rPr>
                  </w:pPr>
                  <w:r>
                    <w:rPr>
                      <w:sz w:val="21"/>
                    </w:rPr>
                    <w:t>地埋式油罐地下水流向上游</w:t>
                  </w:r>
                </w:p>
              </w:tc>
              <w:tc>
                <w:tcPr>
                  <w:tcW w:w="656"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石油类</w:t>
                  </w:r>
                </w:p>
              </w:tc>
              <w:tc>
                <w:tcPr>
                  <w:tcW w:w="254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参照《地下水质量标准》（GB3838-2002）Ⅲ类标准</w:t>
                  </w:r>
                </w:p>
              </w:tc>
              <w:tc>
                <w:tcPr>
                  <w:tcW w:w="1589"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紫外分光光度法（HJ 970-2018）/紫外分光光度计</w:t>
                  </w:r>
                </w:p>
              </w:tc>
              <w:tc>
                <w:tcPr>
                  <w:tcW w:w="650" w:type="dxa"/>
                  <w:vMerge w:val="restart"/>
                  <w:tcBorders>
                    <w:tl2br w:val="nil"/>
                    <w:tr2bl w:val="nil"/>
                  </w:tcBorders>
                  <w:shd w:val="clear" w:color="auto" w:fill="auto"/>
                  <w:vAlign w:val="center"/>
                </w:tcPr>
                <w:p>
                  <w:pPr>
                    <w:spacing w:line="240" w:lineRule="auto"/>
                    <w:ind w:firstLine="0" w:firstLineChars="0"/>
                    <w:jc w:val="center"/>
                    <w:rPr>
                      <w:bCs/>
                    </w:rPr>
                  </w:pPr>
                  <w:r>
                    <w:rPr>
                      <w:bCs/>
                      <w:sz w:val="21"/>
                    </w:rPr>
                    <w:t>1次/a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06" w:type="dxa"/>
                  <w:vMerge w:val="continue"/>
                  <w:tcBorders>
                    <w:tl2br w:val="nil"/>
                    <w:tr2bl w:val="nil"/>
                  </w:tcBorders>
                  <w:shd w:val="clear" w:color="auto" w:fill="auto"/>
                  <w:vAlign w:val="center"/>
                </w:tcPr>
                <w:p>
                  <w:pPr>
                    <w:spacing w:line="240" w:lineRule="auto"/>
                    <w:ind w:firstLine="0" w:firstLineChars="0"/>
                    <w:jc w:val="center"/>
                  </w:pPr>
                </w:p>
              </w:tc>
              <w:tc>
                <w:tcPr>
                  <w:tcW w:w="764" w:type="dxa"/>
                  <w:vMerge w:val="continue"/>
                  <w:tcBorders>
                    <w:tl2br w:val="nil"/>
                    <w:tr2bl w:val="nil"/>
                  </w:tcBorders>
                  <w:shd w:val="clear" w:color="auto" w:fill="auto"/>
                  <w:vAlign w:val="center"/>
                </w:tcPr>
                <w:p>
                  <w:pPr>
                    <w:spacing w:line="240" w:lineRule="auto"/>
                    <w:ind w:firstLine="0" w:firstLineChars="0"/>
                    <w:jc w:val="center"/>
                  </w:pPr>
                </w:p>
              </w:tc>
              <w:tc>
                <w:tcPr>
                  <w:tcW w:w="1905" w:type="dxa"/>
                  <w:tcBorders>
                    <w:tl2br w:val="nil"/>
                    <w:tr2bl w:val="nil"/>
                  </w:tcBorders>
                  <w:shd w:val="clear" w:color="auto" w:fill="auto"/>
                  <w:vAlign w:val="center"/>
                </w:tcPr>
                <w:p>
                  <w:pPr>
                    <w:spacing w:line="240" w:lineRule="auto"/>
                    <w:ind w:firstLine="0" w:firstLineChars="0"/>
                    <w:jc w:val="center"/>
                    <w:rPr>
                      <w:sz w:val="21"/>
                    </w:rPr>
                  </w:pPr>
                  <w:r>
                    <w:rPr>
                      <w:sz w:val="21"/>
                    </w:rPr>
                    <w:t>地埋式油罐旁边</w:t>
                  </w:r>
                </w:p>
              </w:tc>
              <w:tc>
                <w:tcPr>
                  <w:tcW w:w="656"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2540"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1589"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650" w:type="dxa"/>
                  <w:vMerge w:val="continue"/>
                  <w:tcBorders>
                    <w:tl2br w:val="nil"/>
                    <w:tr2bl w:val="nil"/>
                  </w:tcBorders>
                  <w:shd w:val="clear" w:color="auto" w:fill="auto"/>
                  <w:vAlign w:val="center"/>
                </w:tcPr>
                <w:p>
                  <w:pPr>
                    <w:spacing w:line="240" w:lineRule="auto"/>
                    <w:ind w:firstLine="0" w:firstLineChars="0"/>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06"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764"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1905" w:type="dxa"/>
                  <w:tcBorders>
                    <w:tl2br w:val="nil"/>
                    <w:tr2bl w:val="nil"/>
                  </w:tcBorders>
                  <w:shd w:val="clear" w:color="auto" w:fill="auto"/>
                  <w:vAlign w:val="center"/>
                </w:tcPr>
                <w:p>
                  <w:pPr>
                    <w:spacing w:line="240" w:lineRule="auto"/>
                    <w:ind w:firstLine="0" w:firstLineChars="0"/>
                    <w:jc w:val="center"/>
                    <w:rPr>
                      <w:sz w:val="21"/>
                    </w:rPr>
                  </w:pPr>
                  <w:r>
                    <w:rPr>
                      <w:sz w:val="21"/>
                    </w:rPr>
                    <w:t>地下水流向下游</w:t>
                  </w:r>
                </w:p>
              </w:tc>
              <w:tc>
                <w:tcPr>
                  <w:tcW w:w="656"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2540"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1589" w:type="dxa"/>
                  <w:vMerge w:val="continue"/>
                  <w:tcBorders>
                    <w:tl2br w:val="nil"/>
                    <w:tr2bl w:val="nil"/>
                  </w:tcBorders>
                  <w:shd w:val="clear" w:color="auto" w:fill="auto"/>
                  <w:vAlign w:val="center"/>
                </w:tcPr>
                <w:p>
                  <w:pPr>
                    <w:spacing w:line="240" w:lineRule="auto"/>
                    <w:ind w:firstLine="0" w:firstLineChars="0"/>
                    <w:jc w:val="center"/>
                    <w:rPr>
                      <w:sz w:val="21"/>
                    </w:rPr>
                  </w:pPr>
                </w:p>
              </w:tc>
              <w:tc>
                <w:tcPr>
                  <w:tcW w:w="650" w:type="dxa"/>
                  <w:vMerge w:val="continue"/>
                  <w:tcBorders>
                    <w:tl2br w:val="nil"/>
                    <w:tr2bl w:val="nil"/>
                  </w:tcBorders>
                  <w:shd w:val="clear" w:color="auto" w:fill="auto"/>
                  <w:vAlign w:val="center"/>
                </w:tcPr>
                <w:p>
                  <w:pPr>
                    <w:spacing w:line="240" w:lineRule="auto"/>
                    <w:ind w:firstLine="0" w:firstLineChars="0"/>
                    <w:jc w:val="center"/>
                    <w:rPr>
                      <w:sz w:val="21"/>
                    </w:rPr>
                  </w:pPr>
                </w:p>
              </w:tc>
            </w:tr>
          </w:tbl>
          <w:p>
            <w:pPr>
              <w:numPr>
                <w:ilvl w:val="0"/>
                <w:numId w:val="7"/>
              </w:numPr>
              <w:ind w:firstLine="0" w:firstLineChars="0"/>
              <w:jc w:val="both"/>
              <w:rPr>
                <w:b/>
                <w:bCs/>
              </w:rPr>
            </w:pPr>
            <w:r>
              <w:rPr>
                <w:b/>
                <w:bCs/>
              </w:rPr>
              <w:t>环保投资估算</w:t>
            </w:r>
          </w:p>
          <w:p>
            <w:pPr>
              <w:ind w:firstLine="560"/>
              <w:jc w:val="both"/>
            </w:pPr>
            <w:r>
              <w:t>本项目总投资600万元，环保投资23</w:t>
            </w:r>
            <w:r>
              <w:rPr>
                <w:rFonts w:hint="eastAsia"/>
              </w:rPr>
              <w:t>.7</w:t>
            </w:r>
            <w:r>
              <w:t>万元，约占本项目总投资的3.</w:t>
            </w:r>
            <w:r>
              <w:rPr>
                <w:rFonts w:hint="eastAsia"/>
              </w:rPr>
              <w:t>95</w:t>
            </w:r>
            <w:r>
              <w:t>%。本项目环保投资估算见下表。</w:t>
            </w:r>
          </w:p>
          <w:p>
            <w:pPr>
              <w:pStyle w:val="47"/>
              <w:spacing w:line="240" w:lineRule="auto"/>
              <w:ind w:firstLine="422"/>
              <w:rPr>
                <w:rFonts w:hint="default" w:eastAsia="仿宋"/>
                <w:szCs w:val="21"/>
              </w:rPr>
            </w:pPr>
            <w:r>
              <w:rPr>
                <w:rFonts w:hint="default" w:eastAsia="仿宋"/>
                <w:szCs w:val="21"/>
              </w:rPr>
              <w:t>表7-9  项目环保投资估算一览表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571"/>
              <w:gridCol w:w="4003"/>
              <w:gridCol w:w="968"/>
              <w:gridCol w:w="11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574" w:type="pct"/>
                  <w:vMerge w:val="restart"/>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类别</w:t>
                  </w:r>
                </w:p>
              </w:tc>
              <w:tc>
                <w:tcPr>
                  <w:tcW w:w="909" w:type="pct"/>
                  <w:vMerge w:val="restart"/>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治理项目</w:t>
                  </w:r>
                </w:p>
              </w:tc>
              <w:tc>
                <w:tcPr>
                  <w:tcW w:w="2316" w:type="pct"/>
                  <w:vMerge w:val="restart"/>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治理措施</w:t>
                  </w:r>
                </w:p>
              </w:tc>
              <w:tc>
                <w:tcPr>
                  <w:tcW w:w="1199" w:type="pct"/>
                  <w:gridSpan w:val="2"/>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投资金额（万元）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574" w:type="pct"/>
                  <w:vMerge w:val="continue"/>
                  <w:tcBorders>
                    <w:tl2br w:val="nil"/>
                    <w:tr2bl w:val="nil"/>
                  </w:tcBorders>
                  <w:shd w:val="clear" w:color="auto" w:fill="auto"/>
                  <w:vAlign w:val="center"/>
                </w:tcPr>
                <w:p>
                  <w:pPr>
                    <w:spacing w:line="240" w:lineRule="auto"/>
                    <w:ind w:firstLine="0" w:firstLineChars="0"/>
                    <w:rPr>
                      <w:sz w:val="21"/>
                    </w:rPr>
                  </w:pPr>
                </w:p>
              </w:tc>
              <w:tc>
                <w:tcPr>
                  <w:tcW w:w="909" w:type="pct"/>
                  <w:vMerge w:val="continue"/>
                  <w:tcBorders>
                    <w:tl2br w:val="nil"/>
                    <w:tr2bl w:val="nil"/>
                  </w:tcBorders>
                  <w:shd w:val="clear" w:color="auto" w:fill="auto"/>
                  <w:vAlign w:val="center"/>
                </w:tcPr>
                <w:p>
                  <w:pPr>
                    <w:spacing w:line="240" w:lineRule="auto"/>
                    <w:ind w:firstLine="0" w:firstLineChars="0"/>
                    <w:rPr>
                      <w:sz w:val="21"/>
                    </w:rPr>
                  </w:pPr>
                </w:p>
              </w:tc>
              <w:tc>
                <w:tcPr>
                  <w:tcW w:w="2316" w:type="pct"/>
                  <w:vMerge w:val="continue"/>
                  <w:tcBorders>
                    <w:tl2br w:val="nil"/>
                    <w:tr2bl w:val="nil"/>
                  </w:tcBorders>
                  <w:shd w:val="clear" w:color="auto" w:fill="auto"/>
                  <w:vAlign w:val="center"/>
                </w:tcPr>
                <w:p>
                  <w:pPr>
                    <w:spacing w:line="240" w:lineRule="auto"/>
                    <w:ind w:firstLine="0" w:firstLineChars="0"/>
                    <w:rPr>
                      <w:sz w:val="21"/>
                    </w:rPr>
                  </w:pPr>
                </w:p>
              </w:tc>
              <w:tc>
                <w:tcPr>
                  <w:tcW w:w="560" w:type="pct"/>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已投资</w:t>
                  </w:r>
                </w:p>
              </w:tc>
              <w:tc>
                <w:tcPr>
                  <w:tcW w:w="639" w:type="pct"/>
                  <w:tcBorders>
                    <w:tl2br w:val="nil"/>
                    <w:tr2bl w:val="nil"/>
                  </w:tcBorders>
                  <w:shd w:val="clear" w:color="auto" w:fill="auto"/>
                  <w:vAlign w:val="center"/>
                </w:tcPr>
                <w:p>
                  <w:pPr>
                    <w:spacing w:line="240" w:lineRule="auto"/>
                    <w:ind w:firstLine="0" w:firstLineChars="0"/>
                    <w:jc w:val="center"/>
                    <w:textAlignment w:val="center"/>
                    <w:rPr>
                      <w:b/>
                      <w:color w:val="000000"/>
                      <w:sz w:val="21"/>
                    </w:rPr>
                  </w:pPr>
                  <w:r>
                    <w:rPr>
                      <w:b/>
                      <w:color w:val="000000"/>
                      <w:sz w:val="21"/>
                    </w:rPr>
                    <w:t>新增投资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废水</w:t>
                  </w:r>
                </w:p>
              </w:tc>
              <w:tc>
                <w:tcPr>
                  <w:tcW w:w="909"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生活污水</w:t>
                  </w:r>
                </w:p>
              </w:tc>
              <w:tc>
                <w:tcPr>
                  <w:tcW w:w="2316"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①隔油池</w:t>
                  </w:r>
                  <w:r>
                    <w:rPr>
                      <w:rStyle w:val="29"/>
                      <w:rFonts w:hint="eastAsia"/>
                    </w:rPr>
                    <w:t>（防渗）</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0.6</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continue"/>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p>
              </w:tc>
              <w:tc>
                <w:tcPr>
                  <w:tcW w:w="909" w:type="pct"/>
                  <w:vMerge w:val="continue"/>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p>
              </w:tc>
              <w:tc>
                <w:tcPr>
                  <w:tcW w:w="2316"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②化粪池</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0.6</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continue"/>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p>
              </w:tc>
              <w:tc>
                <w:tcPr>
                  <w:tcW w:w="909" w:type="pc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rFonts w:hint="eastAsia"/>
                      <w:b/>
                      <w:bCs/>
                      <w:color w:val="000000"/>
                      <w:sz w:val="21"/>
                    </w:rPr>
                    <w:t>消防水</w:t>
                  </w:r>
                </w:p>
              </w:tc>
              <w:tc>
                <w:tcPr>
                  <w:tcW w:w="2316"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应急事故池（防渗处理）</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tblHeader/>
              </w:trPr>
              <w:tc>
                <w:tcPr>
                  <w:tcW w:w="574"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废气</w:t>
                  </w:r>
                </w:p>
              </w:tc>
              <w:tc>
                <w:tcPr>
                  <w:tcW w:w="909"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油气</w:t>
                  </w: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①地埋式储罐，储油罐设高液位报警和测漏功能的电子式液位计。</w:t>
                  </w:r>
                </w:p>
              </w:tc>
              <w:tc>
                <w:tcPr>
                  <w:tcW w:w="560" w:type="pct"/>
                  <w:tcBorders>
                    <w:tl2br w:val="nil"/>
                    <w:tr2bl w:val="nil"/>
                  </w:tcBorders>
                  <w:shd w:val="clear" w:color="auto" w:fill="auto"/>
                  <w:vAlign w:val="center"/>
                </w:tcPr>
                <w:p>
                  <w:pPr>
                    <w:spacing w:line="240" w:lineRule="auto"/>
                    <w:ind w:firstLine="0" w:firstLineChars="0"/>
                    <w:jc w:val="center"/>
                    <w:rPr>
                      <w:sz w:val="21"/>
                    </w:rPr>
                  </w:pPr>
                  <w:r>
                    <w:rPr>
                      <w:sz w:val="21"/>
                    </w:rPr>
                    <w:t>3</w:t>
                  </w:r>
                </w:p>
              </w:tc>
              <w:tc>
                <w:tcPr>
                  <w:tcW w:w="639" w:type="pct"/>
                  <w:tcBorders>
                    <w:tl2br w:val="nil"/>
                    <w:tr2bl w:val="nil"/>
                  </w:tcBorders>
                  <w:shd w:val="clear" w:color="auto" w:fill="auto"/>
                  <w:vAlign w:val="center"/>
                </w:tcPr>
                <w:p>
                  <w:pPr>
                    <w:spacing w:line="240" w:lineRule="auto"/>
                    <w:ind w:firstLine="0" w:firstLineChars="0"/>
                    <w:jc w:val="center"/>
                    <w:rPr>
                      <w:sz w:val="21"/>
                    </w:rPr>
                  </w:pPr>
                  <w:r>
                    <w:rPr>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continue"/>
                  <w:tcBorders>
                    <w:tl2br w:val="nil"/>
                    <w:tr2bl w:val="nil"/>
                  </w:tcBorders>
                  <w:shd w:val="clear" w:color="auto" w:fill="auto"/>
                  <w:vAlign w:val="center"/>
                </w:tcPr>
                <w:p>
                  <w:pPr>
                    <w:spacing w:line="240" w:lineRule="auto"/>
                    <w:ind w:firstLine="0" w:firstLineChars="0"/>
                    <w:rPr>
                      <w:b/>
                      <w:bCs/>
                      <w:sz w:val="21"/>
                    </w:rPr>
                  </w:pPr>
                </w:p>
              </w:tc>
              <w:tc>
                <w:tcPr>
                  <w:tcW w:w="909" w:type="pct"/>
                  <w:vMerge w:val="continue"/>
                  <w:tcBorders>
                    <w:tl2br w:val="nil"/>
                    <w:tr2bl w:val="nil"/>
                  </w:tcBorders>
                  <w:shd w:val="clear" w:color="auto" w:fill="auto"/>
                  <w:vAlign w:val="center"/>
                </w:tcPr>
                <w:p>
                  <w:pPr>
                    <w:spacing w:line="240" w:lineRule="auto"/>
                    <w:ind w:firstLine="0" w:firstLineChars="0"/>
                    <w:rPr>
                      <w:b/>
                      <w:bCs/>
                      <w:sz w:val="21"/>
                    </w:rPr>
                  </w:pP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②加油枪设置加油油气回收系统</w:t>
                  </w:r>
                </w:p>
              </w:tc>
              <w:tc>
                <w:tcPr>
                  <w:tcW w:w="560" w:type="pct"/>
                  <w:vMerge w:val="restar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sz w:val="21"/>
                    </w:rPr>
                    <w:t>17</w:t>
                  </w:r>
                </w:p>
              </w:tc>
              <w:tc>
                <w:tcPr>
                  <w:tcW w:w="639" w:type="pct"/>
                  <w:vMerge w:val="restar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continue"/>
                  <w:tcBorders>
                    <w:tl2br w:val="nil"/>
                    <w:tr2bl w:val="nil"/>
                  </w:tcBorders>
                  <w:shd w:val="clear" w:color="auto" w:fill="auto"/>
                  <w:vAlign w:val="center"/>
                </w:tcPr>
                <w:p>
                  <w:pPr>
                    <w:spacing w:line="240" w:lineRule="auto"/>
                    <w:ind w:firstLine="0" w:firstLineChars="0"/>
                    <w:rPr>
                      <w:b/>
                      <w:bCs/>
                      <w:sz w:val="21"/>
                    </w:rPr>
                  </w:pPr>
                </w:p>
              </w:tc>
              <w:tc>
                <w:tcPr>
                  <w:tcW w:w="909" w:type="pct"/>
                  <w:vMerge w:val="continue"/>
                  <w:tcBorders>
                    <w:tl2br w:val="nil"/>
                    <w:tr2bl w:val="nil"/>
                  </w:tcBorders>
                  <w:shd w:val="clear" w:color="auto" w:fill="auto"/>
                  <w:vAlign w:val="center"/>
                </w:tcPr>
                <w:p>
                  <w:pPr>
                    <w:spacing w:line="240" w:lineRule="auto"/>
                    <w:ind w:firstLine="0" w:firstLineChars="0"/>
                    <w:rPr>
                      <w:b/>
                      <w:bCs/>
                      <w:sz w:val="21"/>
                    </w:rPr>
                  </w:pP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③采用密闭卸油方式，在油罐卸油口设置卸油油气回收系统</w:t>
                  </w:r>
                </w:p>
              </w:tc>
              <w:tc>
                <w:tcPr>
                  <w:tcW w:w="560" w:type="pct"/>
                  <w:vMerge w:val="continue"/>
                  <w:tcBorders>
                    <w:tl2br w:val="nil"/>
                    <w:tr2bl w:val="nil"/>
                  </w:tcBorders>
                  <w:shd w:val="clear" w:color="auto" w:fill="auto"/>
                  <w:vAlign w:val="center"/>
                </w:tcPr>
                <w:p>
                  <w:pPr>
                    <w:spacing w:line="240" w:lineRule="auto"/>
                    <w:ind w:firstLine="0" w:firstLineChars="0"/>
                    <w:jc w:val="center"/>
                    <w:textAlignment w:val="center"/>
                    <w:rPr>
                      <w:color w:val="000000"/>
                      <w:sz w:val="21"/>
                    </w:rPr>
                  </w:pPr>
                </w:p>
              </w:tc>
              <w:tc>
                <w:tcPr>
                  <w:tcW w:w="639" w:type="pct"/>
                  <w:vMerge w:val="continue"/>
                  <w:tcBorders>
                    <w:tl2br w:val="nil"/>
                    <w:tr2bl w:val="nil"/>
                  </w:tcBorders>
                  <w:shd w:val="clear" w:color="auto" w:fill="auto"/>
                  <w:vAlign w:val="center"/>
                </w:tcPr>
                <w:p>
                  <w:pPr>
                    <w:spacing w:line="240" w:lineRule="auto"/>
                    <w:ind w:firstLine="0" w:firstLineChars="0"/>
                    <w:jc w:val="center"/>
                    <w:textAlignment w:val="center"/>
                    <w:rPr>
                      <w:color w:val="000000"/>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574" w:type="pct"/>
                  <w:vMerge w:val="continue"/>
                  <w:tcBorders>
                    <w:tl2br w:val="nil"/>
                    <w:tr2bl w:val="nil"/>
                  </w:tcBorders>
                  <w:shd w:val="clear" w:color="auto" w:fill="auto"/>
                  <w:vAlign w:val="center"/>
                </w:tcPr>
                <w:p>
                  <w:pPr>
                    <w:spacing w:line="240" w:lineRule="auto"/>
                    <w:ind w:firstLine="0" w:firstLineChars="0"/>
                    <w:rPr>
                      <w:b/>
                      <w:bCs/>
                      <w:sz w:val="21"/>
                    </w:rPr>
                  </w:pPr>
                </w:p>
              </w:tc>
              <w:tc>
                <w:tcPr>
                  <w:tcW w:w="909" w:type="pct"/>
                  <w:tcBorders>
                    <w:tl2br w:val="nil"/>
                    <w:tr2bl w:val="nil"/>
                  </w:tcBorders>
                  <w:shd w:val="clear" w:color="auto" w:fill="auto"/>
                  <w:vAlign w:val="center"/>
                </w:tcPr>
                <w:p>
                  <w:pPr>
                    <w:spacing w:line="240" w:lineRule="auto"/>
                    <w:ind w:firstLine="0" w:firstLineChars="0"/>
                    <w:jc w:val="center"/>
                    <w:rPr>
                      <w:b/>
                      <w:bCs/>
                      <w:sz w:val="21"/>
                    </w:rPr>
                  </w:pPr>
                  <w:r>
                    <w:rPr>
                      <w:b/>
                      <w:bCs/>
                      <w:color w:val="000000"/>
                      <w:sz w:val="21"/>
                    </w:rPr>
                    <w:t>油烟</w:t>
                  </w: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家用油烟净化器处理后排放</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0.2</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blHeader/>
              </w:trPr>
              <w:tc>
                <w:tcPr>
                  <w:tcW w:w="574"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噪声</w:t>
                  </w:r>
                </w:p>
              </w:tc>
              <w:tc>
                <w:tcPr>
                  <w:tcW w:w="909" w:type="pc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设备噪声</w:t>
                  </w:r>
                </w:p>
              </w:tc>
              <w:tc>
                <w:tcPr>
                  <w:tcW w:w="2316"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加油</w:t>
                  </w:r>
                  <w:r>
                    <w:rPr>
                      <w:rFonts w:hint="eastAsia"/>
                      <w:color w:val="000000"/>
                      <w:sz w:val="21"/>
                    </w:rPr>
                    <w:t>点</w:t>
                  </w:r>
                  <w:r>
                    <w:rPr>
                      <w:color w:val="000000"/>
                      <w:sz w:val="21"/>
                    </w:rPr>
                    <w:t>产噪设备安装减震减噪措施</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w:t>
                  </w:r>
                  <w:r>
                    <w:rPr>
                      <w:rFonts w:hint="eastAsia"/>
                      <w:color w:val="000000"/>
                      <w:sz w:val="21"/>
                    </w:rPr>
                    <w:t>1</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blHeader/>
              </w:trPr>
              <w:tc>
                <w:tcPr>
                  <w:tcW w:w="574" w:type="pct"/>
                  <w:vMerge w:val="continue"/>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p>
              </w:tc>
              <w:tc>
                <w:tcPr>
                  <w:tcW w:w="909" w:type="pc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rFonts w:hint="eastAsia"/>
                      <w:b/>
                      <w:bCs/>
                      <w:color w:val="000000"/>
                      <w:sz w:val="21"/>
                    </w:rPr>
                    <w:t>标志</w:t>
                  </w:r>
                </w:p>
              </w:tc>
              <w:tc>
                <w:tcPr>
                  <w:tcW w:w="2316"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加油</w:t>
                  </w:r>
                  <w:r>
                    <w:rPr>
                      <w:rFonts w:hint="eastAsia"/>
                      <w:color w:val="000000"/>
                      <w:sz w:val="21"/>
                    </w:rPr>
                    <w:t>点</w:t>
                  </w:r>
                  <w:r>
                    <w:rPr>
                      <w:color w:val="000000"/>
                      <w:sz w:val="21"/>
                    </w:rPr>
                    <w:t>进出口设置限速、禁鸣标志</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574" w:type="pct"/>
                  <w:vMerge w:val="restar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固体</w:t>
                  </w:r>
                </w:p>
                <w:p>
                  <w:pPr>
                    <w:spacing w:line="240" w:lineRule="auto"/>
                    <w:ind w:firstLine="0" w:firstLineChars="0"/>
                    <w:jc w:val="center"/>
                    <w:textAlignment w:val="center"/>
                    <w:rPr>
                      <w:b/>
                      <w:bCs/>
                      <w:color w:val="000000"/>
                      <w:sz w:val="21"/>
                    </w:rPr>
                  </w:pPr>
                  <w:r>
                    <w:rPr>
                      <w:b/>
                      <w:bCs/>
                      <w:color w:val="000000"/>
                      <w:sz w:val="21"/>
                    </w:rPr>
                    <w:t>废物</w:t>
                  </w:r>
                </w:p>
              </w:tc>
              <w:tc>
                <w:tcPr>
                  <w:tcW w:w="909" w:type="pct"/>
                  <w:tcBorders>
                    <w:tl2br w:val="nil"/>
                    <w:tr2bl w:val="nil"/>
                  </w:tcBorders>
                  <w:shd w:val="clear" w:color="auto" w:fill="auto"/>
                  <w:vAlign w:val="center"/>
                </w:tcPr>
                <w:p>
                  <w:pPr>
                    <w:spacing w:line="240" w:lineRule="auto"/>
                    <w:ind w:firstLine="0" w:firstLineChars="0"/>
                    <w:jc w:val="center"/>
                    <w:textAlignment w:val="center"/>
                    <w:rPr>
                      <w:b/>
                      <w:bCs/>
                      <w:color w:val="000000"/>
                      <w:sz w:val="21"/>
                    </w:rPr>
                  </w:pPr>
                  <w:r>
                    <w:rPr>
                      <w:b/>
                      <w:bCs/>
                      <w:color w:val="000000"/>
                      <w:sz w:val="21"/>
                    </w:rPr>
                    <w:t>生活垃圾</w:t>
                  </w: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生活垃圾统一收集后交由环卫部门处置</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0.1</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574" w:type="pct"/>
                  <w:vMerge w:val="continue"/>
                  <w:tcBorders>
                    <w:tl2br w:val="nil"/>
                    <w:tr2bl w:val="nil"/>
                  </w:tcBorders>
                  <w:shd w:val="clear" w:color="auto" w:fill="auto"/>
                  <w:vAlign w:val="center"/>
                </w:tcPr>
                <w:p>
                  <w:pPr>
                    <w:spacing w:line="240" w:lineRule="auto"/>
                    <w:ind w:firstLine="0" w:firstLineChars="0"/>
                    <w:jc w:val="both"/>
                    <w:rPr>
                      <w:sz w:val="21"/>
                    </w:rPr>
                  </w:pPr>
                </w:p>
              </w:tc>
              <w:tc>
                <w:tcPr>
                  <w:tcW w:w="909" w:type="pct"/>
                  <w:vMerge w:val="restart"/>
                  <w:tcBorders>
                    <w:tl2br w:val="nil"/>
                    <w:tr2bl w:val="nil"/>
                  </w:tcBorders>
                  <w:shd w:val="clear" w:color="auto" w:fill="auto"/>
                  <w:vAlign w:val="center"/>
                </w:tcPr>
                <w:p>
                  <w:pPr>
                    <w:snapToGrid w:val="0"/>
                    <w:spacing w:line="240" w:lineRule="auto"/>
                    <w:ind w:firstLine="0" w:firstLineChars="0"/>
                    <w:jc w:val="center"/>
                    <w:rPr>
                      <w:b/>
                      <w:bCs/>
                      <w:color w:val="000000"/>
                      <w:sz w:val="21"/>
                    </w:rPr>
                  </w:pPr>
                  <w:r>
                    <w:rPr>
                      <w:b/>
                      <w:bCs/>
                      <w:color w:val="000000"/>
                      <w:sz w:val="21"/>
                    </w:rPr>
                    <w:t>危险废物</w:t>
                  </w:r>
                </w:p>
              </w:tc>
              <w:tc>
                <w:tcPr>
                  <w:tcW w:w="2316" w:type="pct"/>
                  <w:tcBorders>
                    <w:tl2br w:val="nil"/>
                    <w:tr2bl w:val="nil"/>
                  </w:tcBorders>
                  <w:shd w:val="clear" w:color="auto" w:fill="auto"/>
                  <w:vAlign w:val="center"/>
                </w:tcPr>
                <w:p>
                  <w:pPr>
                    <w:pStyle w:val="14"/>
                    <w:ind w:firstLine="0" w:firstLineChars="0"/>
                    <w:rPr>
                      <w:color w:val="000000"/>
                      <w:sz w:val="21"/>
                    </w:rPr>
                  </w:pPr>
                  <w:r>
                    <w:rPr>
                      <w:color w:val="000000"/>
                      <w:sz w:val="21"/>
                    </w:rPr>
                    <w:t>①含油抹布和手套收集后交</w:t>
                  </w:r>
                  <w:r>
                    <w:rPr>
                      <w:rFonts w:hint="eastAsia"/>
                      <w:color w:val="000000"/>
                      <w:sz w:val="21"/>
                    </w:rPr>
                    <w:t>资质单位</w:t>
                  </w:r>
                  <w:r>
                    <w:rPr>
                      <w:color w:val="000000"/>
                      <w:sz w:val="21"/>
                    </w:rPr>
                    <w:t>处置</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0.3</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tblHeader/>
              </w:trPr>
              <w:tc>
                <w:tcPr>
                  <w:tcW w:w="574" w:type="pct"/>
                  <w:vMerge w:val="continue"/>
                  <w:tcBorders>
                    <w:tl2br w:val="nil"/>
                    <w:tr2bl w:val="nil"/>
                  </w:tcBorders>
                  <w:shd w:val="clear" w:color="auto" w:fill="auto"/>
                  <w:vAlign w:val="center"/>
                </w:tcPr>
                <w:p>
                  <w:pPr>
                    <w:spacing w:line="240" w:lineRule="auto"/>
                    <w:ind w:firstLine="0" w:firstLineChars="0"/>
                    <w:rPr>
                      <w:b/>
                      <w:bCs/>
                      <w:sz w:val="21"/>
                    </w:rPr>
                  </w:pPr>
                </w:p>
              </w:tc>
              <w:tc>
                <w:tcPr>
                  <w:tcW w:w="909" w:type="pct"/>
                  <w:vMerge w:val="continue"/>
                  <w:tcBorders>
                    <w:tl2br w:val="nil"/>
                    <w:tr2bl w:val="nil"/>
                  </w:tcBorders>
                  <w:shd w:val="clear" w:color="auto" w:fill="auto"/>
                  <w:vAlign w:val="center"/>
                </w:tcPr>
                <w:p>
                  <w:pPr>
                    <w:snapToGrid w:val="0"/>
                    <w:spacing w:line="240" w:lineRule="auto"/>
                    <w:ind w:firstLine="0" w:firstLineChars="0"/>
                    <w:jc w:val="center"/>
                    <w:rPr>
                      <w:b/>
                      <w:bCs/>
                      <w:color w:val="000000"/>
                      <w:sz w:val="21"/>
                    </w:rPr>
                  </w:pP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②油罐清洗过程产生的沉渣不在厂区停留，由清洗油罐的公司当场运走</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0.7</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tblHeader/>
              </w:trPr>
              <w:tc>
                <w:tcPr>
                  <w:tcW w:w="574" w:type="pct"/>
                  <w:vMerge w:val="continue"/>
                  <w:tcBorders>
                    <w:tl2br w:val="nil"/>
                    <w:tr2bl w:val="nil"/>
                  </w:tcBorders>
                  <w:shd w:val="clear" w:color="auto" w:fill="auto"/>
                  <w:vAlign w:val="center"/>
                </w:tcPr>
                <w:p>
                  <w:pPr>
                    <w:spacing w:line="240" w:lineRule="auto"/>
                    <w:ind w:firstLine="0" w:firstLineChars="0"/>
                    <w:rPr>
                      <w:sz w:val="21"/>
                    </w:rPr>
                  </w:pPr>
                </w:p>
              </w:tc>
              <w:tc>
                <w:tcPr>
                  <w:tcW w:w="909" w:type="pct"/>
                  <w:vMerge w:val="continue"/>
                  <w:tcBorders>
                    <w:tl2br w:val="nil"/>
                    <w:tr2bl w:val="nil"/>
                  </w:tcBorders>
                  <w:shd w:val="clear" w:color="auto" w:fill="auto"/>
                  <w:vAlign w:val="center"/>
                </w:tcPr>
                <w:p>
                  <w:pPr>
                    <w:spacing w:line="240" w:lineRule="auto"/>
                    <w:ind w:firstLine="0" w:firstLineChars="0"/>
                    <w:rPr>
                      <w:sz w:val="21"/>
                    </w:rPr>
                  </w:pP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color w:val="000000"/>
                      <w:sz w:val="21"/>
                    </w:rPr>
                    <w:t>③隔油池油泥定期清掏交由益阳绿芯环境资源有限公司处置</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0.2</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5" w:hRule="atLeast"/>
                <w:tblHeader/>
              </w:trPr>
              <w:tc>
                <w:tcPr>
                  <w:tcW w:w="574" w:type="pct"/>
                  <w:vMerge w:val="continue"/>
                  <w:tcBorders>
                    <w:tl2br w:val="nil"/>
                    <w:tr2bl w:val="nil"/>
                  </w:tcBorders>
                  <w:shd w:val="clear" w:color="auto" w:fill="auto"/>
                  <w:vAlign w:val="center"/>
                </w:tcPr>
                <w:p>
                  <w:pPr>
                    <w:spacing w:line="240" w:lineRule="auto"/>
                    <w:ind w:firstLine="0" w:firstLineChars="0"/>
                    <w:rPr>
                      <w:sz w:val="21"/>
                    </w:rPr>
                  </w:pPr>
                </w:p>
              </w:tc>
              <w:tc>
                <w:tcPr>
                  <w:tcW w:w="909" w:type="pct"/>
                  <w:vMerge w:val="continue"/>
                  <w:tcBorders>
                    <w:tl2br w:val="nil"/>
                    <w:tr2bl w:val="nil"/>
                  </w:tcBorders>
                  <w:shd w:val="clear" w:color="auto" w:fill="auto"/>
                  <w:vAlign w:val="center"/>
                </w:tcPr>
                <w:p>
                  <w:pPr>
                    <w:spacing w:line="240" w:lineRule="auto"/>
                    <w:ind w:firstLine="0" w:firstLineChars="0"/>
                    <w:rPr>
                      <w:sz w:val="21"/>
                    </w:rPr>
                  </w:pPr>
                </w:p>
              </w:tc>
              <w:tc>
                <w:tcPr>
                  <w:tcW w:w="2316" w:type="pct"/>
                  <w:tcBorders>
                    <w:tl2br w:val="nil"/>
                    <w:tr2bl w:val="nil"/>
                  </w:tcBorders>
                  <w:shd w:val="clear" w:color="auto" w:fill="auto"/>
                  <w:vAlign w:val="center"/>
                </w:tcPr>
                <w:p>
                  <w:pPr>
                    <w:spacing w:line="240" w:lineRule="auto"/>
                    <w:ind w:firstLine="0" w:firstLineChars="0"/>
                    <w:jc w:val="center"/>
                    <w:rPr>
                      <w:color w:val="000000"/>
                      <w:sz w:val="21"/>
                    </w:rPr>
                  </w:pPr>
                  <w:r>
                    <w:rPr>
                      <w:rFonts w:hint="eastAsia"/>
                      <w:color w:val="000000"/>
                      <w:sz w:val="21"/>
                    </w:rPr>
                    <w:t>④危废暂存间、2个危废暂存桶</w:t>
                  </w:r>
                </w:p>
              </w:tc>
              <w:tc>
                <w:tcPr>
                  <w:tcW w:w="560"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w:t>
                  </w:r>
                </w:p>
              </w:tc>
              <w:tc>
                <w:tcPr>
                  <w:tcW w:w="639" w:type="pct"/>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rFonts w:hint="eastAsia"/>
                      <w:color w:val="000000"/>
                      <w:sz w:val="21"/>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3800" w:type="pct"/>
                  <w:gridSpan w:val="3"/>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b/>
                      <w:bCs/>
                      <w:color w:val="000000"/>
                      <w:sz w:val="21"/>
                    </w:rPr>
                    <w:t>合计：</w:t>
                  </w:r>
                </w:p>
              </w:tc>
              <w:tc>
                <w:tcPr>
                  <w:tcW w:w="1199" w:type="pct"/>
                  <w:gridSpan w:val="2"/>
                  <w:tcBorders>
                    <w:tl2br w:val="nil"/>
                    <w:tr2bl w:val="nil"/>
                  </w:tcBorders>
                  <w:shd w:val="clear" w:color="auto" w:fill="auto"/>
                  <w:vAlign w:val="center"/>
                </w:tcPr>
                <w:p>
                  <w:pPr>
                    <w:spacing w:line="240" w:lineRule="auto"/>
                    <w:ind w:firstLine="0" w:firstLineChars="0"/>
                    <w:jc w:val="center"/>
                    <w:textAlignment w:val="center"/>
                    <w:rPr>
                      <w:color w:val="000000"/>
                      <w:sz w:val="21"/>
                    </w:rPr>
                  </w:pPr>
                  <w:r>
                    <w:rPr>
                      <w:color w:val="000000"/>
                      <w:sz w:val="21"/>
                    </w:rPr>
                    <w:t>23</w:t>
                  </w:r>
                  <w:r>
                    <w:rPr>
                      <w:rFonts w:hint="eastAsia"/>
                      <w:color w:val="000000"/>
                      <w:sz w:val="21"/>
                    </w:rPr>
                    <w:t>.7</w:t>
                  </w:r>
                </w:p>
              </w:tc>
            </w:tr>
          </w:tbl>
          <w:p>
            <w:pPr>
              <w:ind w:firstLine="0" w:firstLineChars="0"/>
              <w:jc w:val="both"/>
              <w:rPr>
                <w:b/>
                <w:bCs/>
                <w:szCs w:val="28"/>
              </w:rPr>
            </w:pPr>
            <w:r>
              <w:rPr>
                <w:b/>
                <w:bCs/>
                <w:szCs w:val="28"/>
              </w:rPr>
              <w:t>（九）项目竣工环境保护验收</w:t>
            </w:r>
          </w:p>
          <w:p>
            <w:pPr>
              <w:ind w:firstLine="560"/>
              <w:jc w:val="both"/>
            </w:pPr>
            <w:r>
              <w:t>项目竣工环境保护验收见表7-10下表。</w:t>
            </w:r>
          </w:p>
          <w:p>
            <w:pPr>
              <w:pStyle w:val="47"/>
              <w:spacing w:line="240" w:lineRule="auto"/>
              <w:ind w:firstLine="422"/>
              <w:rPr>
                <w:rFonts w:hint="default" w:eastAsia="仿宋"/>
                <w:szCs w:val="21"/>
              </w:rPr>
            </w:pPr>
            <w:r>
              <w:rPr>
                <w:rFonts w:hint="default" w:eastAsia="仿宋"/>
                <w:szCs w:val="21"/>
              </w:rPr>
              <w:t>表7-10  项目竣工环境保护验收一览表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994"/>
              <w:gridCol w:w="1690"/>
              <w:gridCol w:w="1906"/>
              <w:gridCol w:w="2741"/>
              <w:gridCol w:w="7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类</w:t>
                  </w:r>
                </w:p>
                <w:p>
                  <w:pPr>
                    <w:tabs>
                      <w:tab w:val="left" w:pos="1021"/>
                    </w:tabs>
                    <w:snapToGrid w:val="0"/>
                    <w:spacing w:line="240" w:lineRule="auto"/>
                    <w:ind w:firstLine="0" w:firstLineChars="0"/>
                    <w:jc w:val="center"/>
                    <w:rPr>
                      <w:b/>
                      <w:color w:val="000000"/>
                      <w:sz w:val="21"/>
                    </w:rPr>
                  </w:pPr>
                  <w:r>
                    <w:rPr>
                      <w:b/>
                      <w:color w:val="000000"/>
                      <w:sz w:val="21"/>
                    </w:rPr>
                    <w:t>别</w:t>
                  </w: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污染源</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监测因子</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治理措施</w:t>
                  </w:r>
                </w:p>
              </w:tc>
              <w:tc>
                <w:tcPr>
                  <w:tcW w:w="1586"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验收标准</w:t>
                  </w: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b/>
                      <w:color w:val="000000"/>
                      <w:sz w:val="21"/>
                    </w:rPr>
                  </w:pPr>
                  <w:r>
                    <w:rPr>
                      <w:b/>
                      <w:color w:val="000000"/>
                      <w:sz w:val="21"/>
                    </w:rPr>
                    <w:t>监测</w:t>
                  </w:r>
                </w:p>
                <w:p>
                  <w:pPr>
                    <w:tabs>
                      <w:tab w:val="left" w:pos="1021"/>
                    </w:tabs>
                    <w:snapToGrid w:val="0"/>
                    <w:spacing w:line="240" w:lineRule="auto"/>
                    <w:ind w:firstLine="0" w:firstLineChars="0"/>
                    <w:jc w:val="center"/>
                    <w:rPr>
                      <w:b/>
                      <w:color w:val="000000"/>
                      <w:sz w:val="21"/>
                    </w:rPr>
                  </w:pPr>
                  <w:r>
                    <w:rPr>
                      <w:b/>
                      <w:color w:val="000000"/>
                      <w:sz w:val="21"/>
                    </w:rPr>
                    <w:t>点位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b/>
                      <w:bCs/>
                      <w:color w:val="000000"/>
                      <w:sz w:val="21"/>
                    </w:rPr>
                  </w:pPr>
                  <w:r>
                    <w:rPr>
                      <w:b/>
                      <w:bCs/>
                      <w:color w:val="000000"/>
                      <w:sz w:val="21"/>
                    </w:rPr>
                    <w:t>废气</w:t>
                  </w: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柴油储油罐、加油机</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VOCs</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rFonts w:hint="eastAsia"/>
                      <w:color w:val="000000"/>
                      <w:sz w:val="21"/>
                      <w:u w:val="single"/>
                    </w:rPr>
                    <w:t>经</w:t>
                  </w:r>
                  <w:r>
                    <w:rPr>
                      <w:color w:val="000000"/>
                      <w:sz w:val="21"/>
                      <w:u w:val="single"/>
                    </w:rPr>
                    <w:t>油气回收系统</w:t>
                  </w:r>
                </w:p>
              </w:tc>
              <w:tc>
                <w:tcPr>
                  <w:tcW w:w="1586"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《加油站大气污染物排放标准》（GB 20952-2007）</w:t>
                  </w: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油气回收装置排口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continue"/>
                  <w:tcBorders>
                    <w:tl2br w:val="nil"/>
                    <w:tr2bl w:val="nil"/>
                  </w:tcBorders>
                  <w:shd w:val="clear" w:color="auto" w:fill="auto"/>
                  <w:vAlign w:val="center"/>
                </w:tcPr>
                <w:p>
                  <w:pPr>
                    <w:spacing w:line="240" w:lineRule="auto"/>
                    <w:ind w:firstLine="0" w:firstLineChars="0"/>
                    <w:rPr>
                      <w:b/>
                      <w:bCs/>
                      <w:sz w:val="21"/>
                    </w:rPr>
                  </w:pP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员工</w:t>
                  </w:r>
                </w:p>
                <w:p>
                  <w:pPr>
                    <w:tabs>
                      <w:tab w:val="left" w:pos="1021"/>
                    </w:tabs>
                    <w:snapToGrid w:val="0"/>
                    <w:spacing w:line="240" w:lineRule="auto"/>
                    <w:ind w:firstLine="0" w:firstLineChars="0"/>
                    <w:jc w:val="center"/>
                    <w:rPr>
                      <w:color w:val="000000"/>
                      <w:sz w:val="21"/>
                    </w:rPr>
                  </w:pPr>
                  <w:r>
                    <w:rPr>
                      <w:color w:val="000000"/>
                      <w:sz w:val="21"/>
                    </w:rPr>
                    <w:t>食堂</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食堂油烟</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经家用油烟净化器</w:t>
                  </w:r>
                </w:p>
              </w:tc>
              <w:tc>
                <w:tcPr>
                  <w:tcW w:w="1586"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《饮食业油烟排放标准（试行）》（GB18483-2001）</w:t>
                  </w: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油烟净化器排放口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b/>
                      <w:bCs/>
                      <w:color w:val="000000"/>
                      <w:sz w:val="21"/>
                    </w:rPr>
                  </w:pPr>
                  <w:r>
                    <w:rPr>
                      <w:b/>
                      <w:bCs/>
                      <w:color w:val="000000"/>
                      <w:sz w:val="21"/>
                    </w:rPr>
                    <w:t>废水</w:t>
                  </w: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生活</w:t>
                  </w:r>
                </w:p>
                <w:p>
                  <w:pPr>
                    <w:tabs>
                      <w:tab w:val="left" w:pos="1021"/>
                    </w:tabs>
                    <w:snapToGrid w:val="0"/>
                    <w:spacing w:line="240" w:lineRule="auto"/>
                    <w:ind w:firstLine="0" w:firstLineChars="0"/>
                    <w:jc w:val="center"/>
                    <w:rPr>
                      <w:color w:val="000000"/>
                      <w:sz w:val="21"/>
                    </w:rPr>
                  </w:pPr>
                  <w:r>
                    <w:rPr>
                      <w:rFonts w:hint="eastAsia"/>
                      <w:color w:val="000000"/>
                      <w:sz w:val="21"/>
                    </w:rPr>
                    <w:t>污</w:t>
                  </w:r>
                  <w:r>
                    <w:rPr>
                      <w:color w:val="000000"/>
                      <w:sz w:val="21"/>
                    </w:rPr>
                    <w:t>水</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COD、BOD</w:t>
                  </w:r>
                  <w:r>
                    <w:rPr>
                      <w:color w:val="000000"/>
                      <w:sz w:val="21"/>
                      <w:vertAlign w:val="subscript"/>
                    </w:rPr>
                    <w:t>5</w:t>
                  </w:r>
                  <w:r>
                    <w:rPr>
                      <w:color w:val="000000"/>
                      <w:sz w:val="21"/>
                    </w:rPr>
                    <w:t>、NH</w:t>
                  </w:r>
                  <w:r>
                    <w:rPr>
                      <w:color w:val="000000"/>
                      <w:sz w:val="21"/>
                      <w:vertAlign w:val="subscript"/>
                    </w:rPr>
                    <w:t>3</w:t>
                  </w:r>
                  <w:r>
                    <w:rPr>
                      <w:color w:val="000000"/>
                      <w:sz w:val="21"/>
                    </w:rPr>
                    <w:t>-N、动植物油</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u w:val="single"/>
                    </w:rPr>
                    <w:t>化粪池</w:t>
                  </w:r>
                  <w:r>
                    <w:rPr>
                      <w:rFonts w:hint="eastAsia"/>
                      <w:color w:val="000000"/>
                      <w:sz w:val="21"/>
                      <w:u w:val="single"/>
                    </w:rPr>
                    <w:t>就地回头用，不外排</w:t>
                  </w:r>
                </w:p>
              </w:tc>
              <w:tc>
                <w:tcPr>
                  <w:tcW w:w="1586"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pPr>
                  <w:r>
                    <w:rPr>
                      <w:rFonts w:hint="eastAsia"/>
                    </w:rPr>
                    <w:t>\</w:t>
                  </w: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continue"/>
                  <w:tcBorders>
                    <w:tl2br w:val="nil"/>
                    <w:tr2bl w:val="nil"/>
                  </w:tcBorders>
                  <w:shd w:val="clear" w:color="auto" w:fill="auto"/>
                  <w:vAlign w:val="center"/>
                </w:tcPr>
                <w:p>
                  <w:pPr>
                    <w:tabs>
                      <w:tab w:val="left" w:pos="1021"/>
                    </w:tabs>
                    <w:snapToGrid w:val="0"/>
                    <w:spacing w:line="240" w:lineRule="auto"/>
                    <w:ind w:firstLine="0" w:firstLineChars="0"/>
                    <w:jc w:val="center"/>
                    <w:rPr>
                      <w:b/>
                      <w:bCs/>
                      <w:color w:val="000000"/>
                      <w:sz w:val="21"/>
                    </w:rPr>
                  </w:pP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地面冲洗废水</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石油类、SS</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rFonts w:hint="eastAsia"/>
                      <w:color w:val="000000"/>
                      <w:sz w:val="21"/>
                      <w:u w:val="single"/>
                    </w:rPr>
                    <w:t>隔油池就地回用，不外排</w:t>
                  </w:r>
                </w:p>
              </w:tc>
              <w:tc>
                <w:tcPr>
                  <w:tcW w:w="1586" w:type="pct"/>
                  <w:vMerge w:val="continue"/>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tcBorders>
                    <w:tl2br w:val="nil"/>
                    <w:tr2bl w:val="nil"/>
                  </w:tcBorders>
                  <w:shd w:val="clear" w:color="auto" w:fill="auto"/>
                  <w:vAlign w:val="center"/>
                </w:tcPr>
                <w:p>
                  <w:pPr>
                    <w:tabs>
                      <w:tab w:val="left" w:pos="1021"/>
                    </w:tabs>
                    <w:snapToGrid w:val="0"/>
                    <w:spacing w:line="240" w:lineRule="auto"/>
                    <w:ind w:firstLine="0" w:firstLineChars="0"/>
                    <w:jc w:val="center"/>
                    <w:rPr>
                      <w:b/>
                      <w:bCs/>
                      <w:color w:val="000000"/>
                      <w:sz w:val="21"/>
                    </w:rPr>
                  </w:pPr>
                  <w:r>
                    <w:rPr>
                      <w:b/>
                      <w:bCs/>
                      <w:color w:val="000000"/>
                      <w:sz w:val="21"/>
                    </w:rPr>
                    <w:t>噪声</w:t>
                  </w:r>
                </w:p>
              </w:tc>
              <w:tc>
                <w:tcPr>
                  <w:tcW w:w="575"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设备</w:t>
                  </w:r>
                </w:p>
                <w:p>
                  <w:pPr>
                    <w:tabs>
                      <w:tab w:val="left" w:pos="1021"/>
                    </w:tabs>
                    <w:snapToGrid w:val="0"/>
                    <w:spacing w:line="240" w:lineRule="auto"/>
                    <w:ind w:firstLine="0" w:firstLineChars="0"/>
                    <w:jc w:val="center"/>
                    <w:rPr>
                      <w:color w:val="000000"/>
                      <w:sz w:val="21"/>
                    </w:rPr>
                  </w:pPr>
                  <w:r>
                    <w:rPr>
                      <w:color w:val="000000"/>
                      <w:sz w:val="21"/>
                    </w:rPr>
                    <w:t>噪声</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Leq(A)</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加油</w:t>
                  </w:r>
                  <w:r>
                    <w:rPr>
                      <w:rFonts w:hint="eastAsia"/>
                      <w:color w:val="000000"/>
                      <w:sz w:val="21"/>
                    </w:rPr>
                    <w:t>点</w:t>
                  </w:r>
                  <w:r>
                    <w:rPr>
                      <w:color w:val="000000"/>
                      <w:sz w:val="21"/>
                    </w:rPr>
                    <w:t>进出口设限速、禁鸣标志，产噪设备安装减震减噪措施</w:t>
                  </w:r>
                </w:p>
              </w:tc>
              <w:tc>
                <w:tcPr>
                  <w:tcW w:w="1586"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《工业企业厂界环境噪声排放标准》（GB12348-2008）中的2类标准</w:t>
                  </w:r>
                </w:p>
              </w:tc>
              <w:tc>
                <w:tcPr>
                  <w:tcW w:w="450"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b/>
                      <w:bCs/>
                      <w:color w:val="000000"/>
                      <w:sz w:val="21"/>
                    </w:rPr>
                  </w:pPr>
                  <w:r>
                    <w:rPr>
                      <w:b/>
                      <w:bCs/>
                      <w:color w:val="000000"/>
                      <w:sz w:val="21"/>
                    </w:rPr>
                    <w:t>固体废物</w:t>
                  </w:r>
                </w:p>
              </w:tc>
              <w:tc>
                <w:tcPr>
                  <w:tcW w:w="575"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危险</w:t>
                  </w:r>
                </w:p>
                <w:p>
                  <w:pPr>
                    <w:tabs>
                      <w:tab w:val="left" w:pos="1021"/>
                    </w:tabs>
                    <w:snapToGrid w:val="0"/>
                    <w:spacing w:line="240" w:lineRule="auto"/>
                    <w:ind w:firstLine="0" w:firstLineChars="0"/>
                    <w:jc w:val="center"/>
                    <w:rPr>
                      <w:color w:val="000000"/>
                      <w:sz w:val="21"/>
                    </w:rPr>
                  </w:pPr>
                  <w:r>
                    <w:rPr>
                      <w:color w:val="000000"/>
                      <w:sz w:val="21"/>
                    </w:rPr>
                    <w:t>废物</w:t>
                  </w: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r>
                    <w:rPr>
                      <w:snapToGrid w:val="0"/>
                      <w:color w:val="000000"/>
                      <w:kern w:val="0"/>
                      <w:sz w:val="21"/>
                    </w:rPr>
                    <w:t>含油抹布、手套（</w:t>
                  </w:r>
                  <w:r>
                    <w:rPr>
                      <w:rFonts w:hint="eastAsia"/>
                      <w:snapToGrid w:val="0"/>
                      <w:color w:val="000000"/>
                      <w:kern w:val="0"/>
                      <w:sz w:val="21"/>
                      <w:lang w:eastAsia="zh-CN"/>
                    </w:rPr>
                    <w:t>HW49</w:t>
                  </w:r>
                  <w:r>
                    <w:rPr>
                      <w:snapToGrid w:val="0"/>
                      <w:color w:val="000000"/>
                      <w:kern w:val="0"/>
                      <w:sz w:val="21"/>
                    </w:rPr>
                    <w:t>）</w:t>
                  </w:r>
                </w:p>
              </w:tc>
              <w:tc>
                <w:tcPr>
                  <w:tcW w:w="1103" w:type="pct"/>
                  <w:tcBorders>
                    <w:tl2br w:val="nil"/>
                    <w:tr2bl w:val="nil"/>
                  </w:tcBorders>
                  <w:shd w:val="clear" w:color="auto" w:fill="auto"/>
                </w:tcPr>
                <w:p>
                  <w:pPr>
                    <w:spacing w:line="240" w:lineRule="auto"/>
                    <w:ind w:firstLine="0" w:firstLineChars="0"/>
                    <w:jc w:val="both"/>
                    <w:rPr>
                      <w:snapToGrid w:val="0"/>
                      <w:color w:val="000000"/>
                      <w:kern w:val="0"/>
                      <w:sz w:val="21"/>
                    </w:rPr>
                  </w:pPr>
                  <w:r>
                    <w:rPr>
                      <w:color w:val="000000"/>
                      <w:sz w:val="21"/>
                    </w:rPr>
                    <w:t>收集后交由资质单位处置</w:t>
                  </w:r>
                </w:p>
              </w:tc>
              <w:tc>
                <w:tcPr>
                  <w:tcW w:w="1586"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snapToGrid w:val="0"/>
                      <w:color w:val="000000"/>
                      <w:kern w:val="0"/>
                      <w:sz w:val="21"/>
                    </w:rPr>
                    <w:t>《危险废物贮存污染控制标准》（GB18597-2001）及2013年修改单</w:t>
                  </w:r>
                </w:p>
              </w:tc>
              <w:tc>
                <w:tcPr>
                  <w:tcW w:w="450" w:type="pct"/>
                  <w:vMerge w:val="restar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加油点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continue"/>
                  <w:tcBorders>
                    <w:tl2br w:val="nil"/>
                    <w:tr2bl w:val="nil"/>
                  </w:tcBorders>
                  <w:shd w:val="clear" w:color="auto" w:fill="auto"/>
                  <w:vAlign w:val="center"/>
                </w:tcPr>
                <w:p>
                  <w:pPr>
                    <w:spacing w:line="240" w:lineRule="auto"/>
                    <w:ind w:firstLine="0" w:firstLineChars="0"/>
                    <w:rPr>
                      <w:sz w:val="21"/>
                    </w:rPr>
                  </w:pPr>
                </w:p>
              </w:tc>
              <w:tc>
                <w:tcPr>
                  <w:tcW w:w="575" w:type="pct"/>
                  <w:vMerge w:val="continue"/>
                  <w:tcBorders>
                    <w:tl2br w:val="nil"/>
                    <w:tr2bl w:val="nil"/>
                  </w:tcBorders>
                  <w:shd w:val="clear" w:color="auto" w:fill="auto"/>
                  <w:vAlign w:val="center"/>
                </w:tcPr>
                <w:p>
                  <w:pPr>
                    <w:spacing w:line="240" w:lineRule="auto"/>
                    <w:ind w:firstLine="0" w:firstLineChars="0"/>
                    <w:rPr>
                      <w:sz w:val="21"/>
                    </w:rPr>
                  </w:pP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r>
                    <w:rPr>
                      <w:snapToGrid w:val="0"/>
                      <w:color w:val="000000"/>
                      <w:kern w:val="0"/>
                      <w:sz w:val="21"/>
                    </w:rPr>
                    <w:t>油罐清洗过程产生的沉渣（HW08）</w:t>
                  </w:r>
                </w:p>
              </w:tc>
              <w:tc>
                <w:tcPr>
                  <w:tcW w:w="1103" w:type="pct"/>
                  <w:tcBorders>
                    <w:tl2br w:val="nil"/>
                    <w:tr2bl w:val="nil"/>
                  </w:tcBorders>
                  <w:shd w:val="clear" w:color="auto" w:fill="auto"/>
                </w:tcPr>
                <w:p>
                  <w:pPr>
                    <w:spacing w:line="240" w:lineRule="auto"/>
                    <w:ind w:firstLine="0" w:firstLineChars="0"/>
                    <w:jc w:val="both"/>
                    <w:rPr>
                      <w:snapToGrid w:val="0"/>
                      <w:color w:val="000000"/>
                      <w:kern w:val="0"/>
                      <w:sz w:val="21"/>
                    </w:rPr>
                  </w:pPr>
                  <w:r>
                    <w:rPr>
                      <w:color w:val="000000"/>
                      <w:sz w:val="21"/>
                    </w:rPr>
                    <w:t>由清洗油罐的公司当场运走，交由有资质单位处置</w:t>
                  </w:r>
                </w:p>
              </w:tc>
              <w:tc>
                <w:tcPr>
                  <w:tcW w:w="1586" w:type="pct"/>
                  <w:vMerge w:val="continue"/>
                  <w:tcBorders>
                    <w:tl2br w:val="nil"/>
                    <w:tr2bl w:val="nil"/>
                  </w:tcBorders>
                  <w:shd w:val="clear" w:color="auto" w:fill="auto"/>
                  <w:vAlign w:val="center"/>
                </w:tcPr>
                <w:p>
                  <w:pPr>
                    <w:spacing w:line="240" w:lineRule="auto"/>
                    <w:ind w:firstLine="0" w:firstLineChars="0"/>
                    <w:rPr>
                      <w:sz w:val="21"/>
                    </w:rPr>
                  </w:pPr>
                </w:p>
              </w:tc>
              <w:tc>
                <w:tcPr>
                  <w:tcW w:w="450" w:type="pct"/>
                  <w:vMerge w:val="continue"/>
                  <w:tcBorders>
                    <w:tl2br w:val="nil"/>
                    <w:tr2bl w:val="nil"/>
                  </w:tcBorders>
                  <w:shd w:val="clear" w:color="auto" w:fill="auto"/>
                  <w:vAlign w:val="center"/>
                </w:tcPr>
                <w:p>
                  <w:pPr>
                    <w:spacing w:line="240" w:lineRule="auto"/>
                    <w:ind w:firstLine="0" w:firstLineChars="0"/>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continue"/>
                  <w:tcBorders>
                    <w:tl2br w:val="nil"/>
                    <w:tr2bl w:val="nil"/>
                  </w:tcBorders>
                  <w:shd w:val="clear" w:color="auto" w:fill="auto"/>
                  <w:vAlign w:val="center"/>
                </w:tcPr>
                <w:p>
                  <w:pPr>
                    <w:spacing w:line="240" w:lineRule="auto"/>
                    <w:ind w:firstLine="0" w:firstLineChars="0"/>
                    <w:rPr>
                      <w:sz w:val="21"/>
                    </w:rPr>
                  </w:pPr>
                </w:p>
              </w:tc>
              <w:tc>
                <w:tcPr>
                  <w:tcW w:w="575" w:type="pct"/>
                  <w:vMerge w:val="continue"/>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p>
              </w:tc>
              <w:tc>
                <w:tcPr>
                  <w:tcW w:w="978" w:type="pct"/>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r>
                    <w:rPr>
                      <w:snapToGrid w:val="0"/>
                      <w:color w:val="000000"/>
                      <w:kern w:val="0"/>
                      <w:sz w:val="21"/>
                    </w:rPr>
                    <w:t>地面冲洗沉渣</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r>
                    <w:rPr>
                      <w:color w:val="000000"/>
                      <w:sz w:val="21"/>
                    </w:rPr>
                    <w:t>收集后交由益阳绿芯环境资源有限公司处置</w:t>
                  </w:r>
                </w:p>
              </w:tc>
              <w:tc>
                <w:tcPr>
                  <w:tcW w:w="1586" w:type="pct"/>
                  <w:vMerge w:val="continue"/>
                  <w:tcBorders>
                    <w:tl2br w:val="nil"/>
                    <w:tr2bl w:val="nil"/>
                  </w:tcBorders>
                  <w:shd w:val="clear" w:color="auto" w:fill="auto"/>
                  <w:vAlign w:val="center"/>
                </w:tcPr>
                <w:p>
                  <w:pPr>
                    <w:tabs>
                      <w:tab w:val="left" w:pos="1021"/>
                    </w:tabs>
                    <w:snapToGrid w:val="0"/>
                    <w:spacing w:line="240" w:lineRule="auto"/>
                    <w:ind w:firstLine="0" w:firstLineChars="0"/>
                    <w:jc w:val="center"/>
                    <w:rPr>
                      <w:snapToGrid w:val="0"/>
                      <w:color w:val="000000"/>
                      <w:kern w:val="0"/>
                      <w:sz w:val="21"/>
                    </w:rPr>
                  </w:pPr>
                </w:p>
              </w:tc>
              <w:tc>
                <w:tcPr>
                  <w:tcW w:w="450" w:type="pct"/>
                  <w:vMerge w:val="continue"/>
                  <w:tcBorders>
                    <w:tl2br w:val="nil"/>
                    <w:tr2bl w:val="nil"/>
                  </w:tcBorders>
                  <w:shd w:val="clear" w:color="auto" w:fill="auto"/>
                  <w:vAlign w:val="center"/>
                </w:tcPr>
                <w:p>
                  <w:pPr>
                    <w:spacing w:line="240" w:lineRule="auto"/>
                    <w:ind w:firstLine="0" w:firstLineChars="0"/>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 w:type="pct"/>
                  <w:vMerge w:val="continue"/>
                  <w:tcBorders>
                    <w:tl2br w:val="nil"/>
                    <w:tr2bl w:val="nil"/>
                  </w:tcBorders>
                  <w:shd w:val="clear" w:color="auto" w:fill="auto"/>
                  <w:vAlign w:val="center"/>
                </w:tcPr>
                <w:p>
                  <w:pPr>
                    <w:spacing w:line="240" w:lineRule="auto"/>
                    <w:ind w:firstLine="0" w:firstLineChars="0"/>
                    <w:rPr>
                      <w:sz w:val="21"/>
                    </w:rPr>
                  </w:pPr>
                </w:p>
              </w:tc>
              <w:tc>
                <w:tcPr>
                  <w:tcW w:w="1553" w:type="pct"/>
                  <w:gridSpan w:val="2"/>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生活垃圾</w:t>
                  </w:r>
                </w:p>
              </w:tc>
              <w:tc>
                <w:tcPr>
                  <w:tcW w:w="1103"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color w:val="000000"/>
                      <w:sz w:val="21"/>
                    </w:rPr>
                    <w:t>集中收集委托环卫部门统一处理</w:t>
                  </w:r>
                </w:p>
              </w:tc>
              <w:tc>
                <w:tcPr>
                  <w:tcW w:w="1586" w:type="pct"/>
                  <w:tcBorders>
                    <w:tl2br w:val="nil"/>
                    <w:tr2bl w:val="nil"/>
                  </w:tcBorders>
                  <w:shd w:val="clear" w:color="auto" w:fill="auto"/>
                  <w:vAlign w:val="center"/>
                </w:tcPr>
                <w:p>
                  <w:pPr>
                    <w:tabs>
                      <w:tab w:val="left" w:pos="1021"/>
                    </w:tabs>
                    <w:snapToGrid w:val="0"/>
                    <w:spacing w:line="240" w:lineRule="auto"/>
                    <w:ind w:firstLine="0" w:firstLineChars="0"/>
                    <w:jc w:val="center"/>
                    <w:rPr>
                      <w:color w:val="000000"/>
                      <w:sz w:val="21"/>
                    </w:rPr>
                  </w:pPr>
                  <w:r>
                    <w:rPr>
                      <w:snapToGrid w:val="0"/>
                      <w:color w:val="000000"/>
                      <w:kern w:val="0"/>
                      <w:sz w:val="21"/>
                    </w:rPr>
                    <w:t>《生活垃圾填埋场污染控制标准》（GB16889-2008）</w:t>
                  </w:r>
                </w:p>
              </w:tc>
              <w:tc>
                <w:tcPr>
                  <w:tcW w:w="450" w:type="pct"/>
                  <w:vMerge w:val="continue"/>
                  <w:tcBorders>
                    <w:tl2br w:val="nil"/>
                    <w:tr2bl w:val="nil"/>
                  </w:tcBorders>
                  <w:shd w:val="clear" w:color="auto" w:fill="auto"/>
                  <w:vAlign w:val="center"/>
                </w:tcPr>
                <w:p>
                  <w:pPr>
                    <w:spacing w:line="240" w:lineRule="auto"/>
                    <w:ind w:firstLine="0" w:firstLineChars="0"/>
                    <w:rPr>
                      <w:sz w:val="21"/>
                    </w:rPr>
                  </w:pPr>
                </w:p>
              </w:tc>
            </w:tr>
          </w:tbl>
          <w:p>
            <w:pPr>
              <w:ind w:firstLine="560"/>
              <w:jc w:val="both"/>
            </w:pPr>
          </w:p>
          <w:p>
            <w:pPr>
              <w:ind w:firstLine="0" w:firstLineChars="0"/>
              <w:jc w:val="both"/>
            </w:pPr>
          </w:p>
        </w:tc>
      </w:tr>
    </w:tbl>
    <w:p>
      <w:pPr>
        <w:pStyle w:val="3"/>
        <w:numPr>
          <w:ilvl w:val="0"/>
          <w:numId w:val="6"/>
        </w:numPr>
        <w:spacing w:before="0" w:after="0" w:line="240" w:lineRule="auto"/>
        <w:ind w:firstLine="0" w:firstLineChars="0"/>
        <w:sectPr>
          <w:pgSz w:w="12240" w:h="15840"/>
          <w:pgMar w:top="1440" w:right="1800" w:bottom="1440" w:left="1800" w:header="720" w:footer="720" w:gutter="0"/>
          <w:cols w:space="425" w:num="1"/>
          <w:docGrid w:type="lines" w:linePitch="312" w:charSpace="0"/>
        </w:sectPr>
      </w:pPr>
      <w:bookmarkStart w:id="44" w:name="_Toc19462"/>
    </w:p>
    <w:p>
      <w:pPr>
        <w:pStyle w:val="3"/>
        <w:numPr>
          <w:ilvl w:val="0"/>
          <w:numId w:val="6"/>
        </w:numPr>
        <w:spacing w:before="0" w:after="0" w:line="240" w:lineRule="auto"/>
        <w:ind w:firstLine="0" w:firstLineChars="0"/>
      </w:pPr>
      <w:r>
        <mc:AlternateContent>
          <mc:Choice Requires="wps">
            <w:drawing>
              <wp:anchor distT="0" distB="0" distL="114300" distR="114300" simplePos="0" relativeHeight="258998272" behindDoc="0" locked="0" layoutInCell="0" allowOverlap="1">
                <wp:simplePos x="0" y="0"/>
                <wp:positionH relativeFrom="column">
                  <wp:posOffset>-6223000</wp:posOffset>
                </wp:positionH>
                <wp:positionV relativeFrom="paragraph">
                  <wp:posOffset>1311275</wp:posOffset>
                </wp:positionV>
                <wp:extent cx="5334000" cy="635"/>
                <wp:effectExtent l="0" t="0" r="0" b="18415"/>
                <wp:wrapNone/>
                <wp:docPr id="6" name="直线 2"/>
                <wp:cNvGraphicFramePr/>
                <a:graphic xmlns:a="http://schemas.openxmlformats.org/drawingml/2006/main">
                  <a:graphicData uri="http://schemas.microsoft.com/office/word/2010/wordprocessingShape">
                    <wps:wsp>
                      <wps:cNvCnPr/>
                      <wps:spPr>
                        <a:xfrm>
                          <a:off x="0" y="0"/>
                          <a:ext cx="533400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490pt;margin-top:103.25pt;height:0.05pt;width:420pt;z-index:258998272;mso-width-relative:page;mso-height-relative:page;" filled="f" stroked="t" coordsize="21600,21600" o:allowincell="f" o:gfxdata="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QJ7MdkA&#10;AAANAQAADwAAAAAAAAABACAAAAAiAAAAZHJzL2Rvd25yZXYueG1sUEsBAhQAFAAAAAgAh07iQNM8&#10;IKnlAQAA3wMAAA4AAAAAAAAAAQAgAAAAKAEAAGRycy9lMm9Eb2MueG1sUEsFBgAAAAAGAAYAWQEA&#10;AH8FAAAAAA==&#10;">
                <v:fill on="f" focussize="0,0"/>
                <v:stroke color="#000000" joinstyle="round"/>
                <v:imagedata o:title=""/>
                <o:lock v:ext="edit" aspectratio="f"/>
              </v:line>
            </w:pict>
          </mc:Fallback>
        </mc:AlternateContent>
      </w:r>
      <w:bookmarkStart w:id="45" w:name="_Toc460481181"/>
      <w:bookmarkStart w:id="46" w:name="_Toc10913"/>
      <w:bookmarkStart w:id="47" w:name="_Toc10270"/>
      <w:r>
        <mc:AlternateContent>
          <mc:Choice Requires="wps">
            <w:drawing>
              <wp:anchor distT="0" distB="0" distL="114300" distR="114300" simplePos="0" relativeHeight="257949696" behindDoc="0" locked="0" layoutInCell="0" allowOverlap="1">
                <wp:simplePos x="0" y="0"/>
                <wp:positionH relativeFrom="column">
                  <wp:posOffset>-6578600</wp:posOffset>
                </wp:positionH>
                <wp:positionV relativeFrom="paragraph">
                  <wp:posOffset>949325</wp:posOffset>
                </wp:positionV>
                <wp:extent cx="5422900" cy="635"/>
                <wp:effectExtent l="0" t="0" r="6350" b="18415"/>
                <wp:wrapNone/>
                <wp:docPr id="5" name="直接连接符 4"/>
                <wp:cNvGraphicFramePr/>
                <a:graphic xmlns:a="http://schemas.openxmlformats.org/drawingml/2006/main">
                  <a:graphicData uri="http://schemas.microsoft.com/office/word/2010/wordprocessingShape">
                    <wps:wsp>
                      <wps:cNvCnPr/>
                      <wps:spPr>
                        <a:xfrm>
                          <a:off x="0" y="0"/>
                          <a:ext cx="542290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4" o:spid="_x0000_s1026" o:spt="20" style="position:absolute;left:0pt;margin-left:-518pt;margin-top:74.75pt;height:0.05pt;width:427pt;z-index:257949696;mso-width-relative:page;mso-height-relative:page;" filled="f" stroked="t" coordsize="21600,21600" o:allowincell="f" o:gfxdata="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0lla2gAAAA4BAAAPAAAAAAAAAAEAIAAAACIAAABkcnMvZG93bnJldi54bWxQSwEC&#10;FAAUAAAACACHTuJAa5scFfIBAADoAwAADgAAAAAAAAABACAAAAApAQAAZHJzL2Uyb0RvYy54bWxQ&#10;SwUGAAAAAAYABgBZAQAAj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60046848" behindDoc="0" locked="0" layoutInCell="0" allowOverlap="1">
                <wp:simplePos x="0" y="0"/>
                <wp:positionH relativeFrom="column">
                  <wp:posOffset>-6223000</wp:posOffset>
                </wp:positionH>
                <wp:positionV relativeFrom="paragraph">
                  <wp:posOffset>346075</wp:posOffset>
                </wp:positionV>
                <wp:extent cx="4889500" cy="635"/>
                <wp:effectExtent l="0" t="0" r="6350" b="18415"/>
                <wp:wrapNone/>
                <wp:docPr id="14" name="直线 4"/>
                <wp:cNvGraphicFramePr/>
                <a:graphic xmlns:a="http://schemas.openxmlformats.org/drawingml/2006/main">
                  <a:graphicData uri="http://schemas.microsoft.com/office/word/2010/wordprocessingShape">
                    <wps:wsp>
                      <wps:cNvCnPr/>
                      <wps:spPr>
                        <a:xfrm>
                          <a:off x="0" y="0"/>
                          <a:ext cx="488950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4" o:spid="_x0000_s1026" o:spt="20" style="position:absolute;left:0pt;margin-left:-490pt;margin-top:27.25pt;height:0.05pt;width:385pt;z-index:260046848;mso-width-relative:page;mso-height-relative:page;" filled="f" stroked="t" coordsize="21600,21600" o:allowincell="f" o:gfxdata="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AnGdgA&#10;AAALAQAADwAAAAAAAAABACAAAAAiAAAAZHJzL2Rvd25yZXYueG1sUEsBAhQAFAAAAAgAh07iQHt5&#10;PDLmAQAA4AMAAA4AAAAAAAAAAQAgAAAAJwEAAGRycy9lMm9Eb2MueG1sUEsFBgAAAAAGAAYAWQEA&#10;AH8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6901120" behindDoc="0" locked="0" layoutInCell="0" allowOverlap="1">
                <wp:simplePos x="0" y="0"/>
                <wp:positionH relativeFrom="column">
                  <wp:posOffset>-7112000</wp:posOffset>
                </wp:positionH>
                <wp:positionV relativeFrom="paragraph">
                  <wp:posOffset>466725</wp:posOffset>
                </wp:positionV>
                <wp:extent cx="5422900" cy="635"/>
                <wp:effectExtent l="0" t="0" r="6350" b="18415"/>
                <wp:wrapNone/>
                <wp:docPr id="7" name="直线 5"/>
                <wp:cNvGraphicFramePr/>
                <a:graphic xmlns:a="http://schemas.openxmlformats.org/drawingml/2006/main">
                  <a:graphicData uri="http://schemas.microsoft.com/office/word/2010/wordprocessingShape">
                    <wps:wsp>
                      <wps:cNvCnPr/>
                      <wps:spPr>
                        <a:xfrm>
                          <a:off x="0" y="0"/>
                          <a:ext cx="542290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5" o:spid="_x0000_s1026" o:spt="20" style="position:absolute;left:0pt;margin-left:-560pt;margin-top:36.75pt;height:0.05pt;width:427pt;z-index:256901120;mso-width-relative:page;mso-height-relative:page;" filled="f" stroked="t" coordsize="21600,21600" o:allowincell="f" o:gfxdata="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80gQHX&#10;AAAADAEAAA8AAAAAAAAAAQAgAAAAIgAAAGRycy9kb3ducmV2LnhtbFBLAQIUABQAAAAIAIdO4kCN&#10;17ar6AEAAN8DAAAOAAAAAAAAAAEAIAAAACYBAABkcnMvZTJvRG9jLnhtbFBLBQYAAAAABgAGAFkB&#10;AACABQAAAAA=&#10;">
                <v:fill on="f" focussize="0,0"/>
                <v:stroke color="#000000" joinstyle="round"/>
                <v:imagedata o:title=""/>
                <o:lock v:ext="edit" aspectratio="f"/>
              </v:line>
            </w:pict>
          </mc:Fallback>
        </mc:AlternateContent>
      </w:r>
      <w:bookmarkEnd w:id="45"/>
      <w:r>
        <w:t>建设项目拟采取的防治措施及预期治理效果</w:t>
      </w:r>
      <w:bookmarkEnd w:id="44"/>
      <w:bookmarkEnd w:id="46"/>
      <w:bookmarkEnd w:id="47"/>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344"/>
        <w:gridCol w:w="1834"/>
        <w:gridCol w:w="3043"/>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29" w:type="pct"/>
            <w:tcBorders>
              <w:tl2br w:val="nil"/>
              <w:tr2bl w:val="nil"/>
            </w:tcBorders>
            <w:shd w:val="clear" w:color="auto" w:fill="auto"/>
            <w:tcMar>
              <w:top w:w="28" w:type="dxa"/>
              <w:bottom w:w="28" w:type="dxa"/>
            </w:tcMar>
            <w:vAlign w:val="center"/>
          </w:tcPr>
          <w:p>
            <w:pPr>
              <w:spacing w:line="240" w:lineRule="auto"/>
              <w:ind w:firstLine="0" w:firstLineChars="0"/>
              <w:jc w:val="both"/>
              <w:rPr>
                <w:b/>
                <w:color w:val="000000"/>
                <w:kern w:val="0"/>
              </w:rPr>
            </w:pPr>
            <w:r>
              <w:rPr>
                <w:b/>
                <w:snapToGrid w:val="0"/>
                <w:color w:val="000000"/>
                <w:kern w:val="0"/>
                <w:sz w:val="21"/>
              </w:rPr>
              <w:t>内容</w:t>
            </w:r>
          </w:p>
          <w:p>
            <w:pPr>
              <w:spacing w:line="240" w:lineRule="auto"/>
              <w:ind w:firstLine="0" w:firstLineChars="0"/>
              <w:jc w:val="both"/>
              <w:rPr>
                <w:b/>
                <w:color w:val="000000"/>
                <w:kern w:val="0"/>
              </w:rPr>
            </w:pPr>
            <w:r>
              <w:rPr>
                <w:b/>
                <w:snapToGrid w:val="0"/>
                <w:color w:val="000000"/>
                <w:kern w:val="0"/>
                <w:sz w:val="21"/>
              </w:rPr>
              <w:t>类型</w:t>
            </w: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b/>
                <w:color w:val="000000"/>
                <w:kern w:val="0"/>
              </w:rPr>
            </w:pPr>
            <w:r>
              <w:rPr>
                <w:b/>
                <w:snapToGrid w:val="0"/>
                <w:color w:val="000000"/>
                <w:kern w:val="0"/>
                <w:sz w:val="21"/>
              </w:rPr>
              <w:t>排放源</w:t>
            </w:r>
          </w:p>
          <w:p>
            <w:pPr>
              <w:spacing w:line="240" w:lineRule="auto"/>
              <w:ind w:firstLine="0" w:firstLineChars="0"/>
              <w:jc w:val="center"/>
              <w:rPr>
                <w:b/>
                <w:color w:val="000000"/>
                <w:kern w:val="0"/>
              </w:rPr>
            </w:pPr>
            <w:r>
              <w:rPr>
                <w:b/>
                <w:snapToGrid w:val="0"/>
                <w:color w:val="000000"/>
                <w:kern w:val="0"/>
                <w:sz w:val="21"/>
              </w:rPr>
              <w:t>（编号）</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b/>
                <w:color w:val="000000"/>
                <w:kern w:val="0"/>
              </w:rPr>
            </w:pPr>
            <w:r>
              <w:rPr>
                <w:b/>
                <w:snapToGrid w:val="0"/>
                <w:color w:val="000000"/>
                <w:kern w:val="0"/>
                <w:sz w:val="21"/>
              </w:rPr>
              <w:t>污染物</w:t>
            </w:r>
          </w:p>
          <w:p>
            <w:pPr>
              <w:spacing w:line="240" w:lineRule="auto"/>
              <w:ind w:firstLine="0" w:firstLineChars="0"/>
              <w:jc w:val="center"/>
              <w:rPr>
                <w:b/>
                <w:color w:val="000000"/>
                <w:kern w:val="0"/>
              </w:rPr>
            </w:pPr>
            <w:r>
              <w:rPr>
                <w:b/>
                <w:snapToGrid w:val="0"/>
                <w:color w:val="000000"/>
                <w:kern w:val="0"/>
                <w:sz w:val="21"/>
              </w:rPr>
              <w:t>名</w:t>
            </w:r>
            <w:r>
              <w:rPr>
                <w:b/>
                <w:color w:val="000000"/>
                <w:kern w:val="0"/>
                <w:sz w:val="21"/>
              </w:rPr>
              <w:t xml:space="preserve">  </w:t>
            </w:r>
            <w:r>
              <w:rPr>
                <w:b/>
                <w:snapToGrid w:val="0"/>
                <w:color w:val="000000"/>
                <w:kern w:val="0"/>
                <w:sz w:val="21"/>
              </w:rPr>
              <w:t>称</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b/>
                <w:color w:val="000000"/>
                <w:kern w:val="0"/>
              </w:rPr>
            </w:pPr>
            <w:r>
              <w:rPr>
                <w:b/>
                <w:snapToGrid w:val="0"/>
                <w:color w:val="000000"/>
                <w:kern w:val="0"/>
                <w:sz w:val="21"/>
              </w:rPr>
              <w:t>防 治 措 施</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b/>
                <w:color w:val="000000"/>
                <w:kern w:val="0"/>
              </w:rPr>
            </w:pPr>
            <w:r>
              <w:rPr>
                <w:b/>
                <w:snapToGrid w:val="0"/>
                <w:color w:val="000000"/>
                <w:kern w:val="0"/>
                <w:sz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29" w:type="pct"/>
            <w:vMerge w:val="restart"/>
            <w:tcBorders>
              <w:tl2br w:val="nil"/>
              <w:tr2bl w:val="nil"/>
            </w:tcBorders>
            <w:shd w:val="clear" w:color="auto" w:fill="auto"/>
            <w:tcMar>
              <w:top w:w="28" w:type="dxa"/>
              <w:bottom w:w="28" w:type="dxa"/>
            </w:tcMar>
            <w:vAlign w:val="center"/>
          </w:tcPr>
          <w:p>
            <w:pPr>
              <w:spacing w:line="240" w:lineRule="auto"/>
              <w:ind w:firstLine="0" w:firstLineChars="0"/>
              <w:jc w:val="center"/>
              <w:rPr>
                <w:b/>
                <w:bCs/>
                <w:color w:val="000000"/>
                <w:kern w:val="0"/>
              </w:rPr>
            </w:pPr>
            <w:r>
              <w:rPr>
                <w:b/>
                <w:bCs/>
                <w:snapToGrid w:val="0"/>
                <w:color w:val="000000"/>
                <w:kern w:val="0"/>
                <w:sz w:val="21"/>
              </w:rPr>
              <w:t>水污</w:t>
            </w:r>
          </w:p>
          <w:p>
            <w:pPr>
              <w:spacing w:line="240" w:lineRule="auto"/>
              <w:ind w:firstLine="0" w:firstLineChars="0"/>
              <w:jc w:val="center"/>
              <w:rPr>
                <w:b/>
                <w:bCs/>
                <w:color w:val="000000"/>
                <w:kern w:val="0"/>
              </w:rPr>
            </w:pPr>
            <w:r>
              <w:rPr>
                <w:b/>
                <w:bCs/>
                <w:snapToGrid w:val="0"/>
                <w:color w:val="000000"/>
                <w:kern w:val="0"/>
                <w:sz w:val="21"/>
              </w:rPr>
              <w:t>染物</w:t>
            </w: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生活污水</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sz w:val="21"/>
              </w:rPr>
            </w:pPr>
            <w:r>
              <w:rPr>
                <w:snapToGrid w:val="0"/>
                <w:color w:val="000000"/>
                <w:kern w:val="0"/>
                <w:sz w:val="21"/>
              </w:rPr>
              <w:t>COD、BOD</w:t>
            </w:r>
            <w:r>
              <w:rPr>
                <w:snapToGrid w:val="0"/>
                <w:color w:val="000000"/>
                <w:kern w:val="0"/>
                <w:sz w:val="21"/>
                <w:vertAlign w:val="subscript"/>
              </w:rPr>
              <w:t>5</w:t>
            </w:r>
            <w:r>
              <w:rPr>
                <w:snapToGrid w:val="0"/>
                <w:color w:val="000000"/>
                <w:kern w:val="0"/>
                <w:sz w:val="21"/>
              </w:rPr>
              <w:t>、NH</w:t>
            </w:r>
            <w:r>
              <w:rPr>
                <w:snapToGrid w:val="0"/>
                <w:color w:val="000000"/>
                <w:kern w:val="0"/>
                <w:sz w:val="21"/>
                <w:vertAlign w:val="subscript"/>
              </w:rPr>
              <w:t>3</w:t>
            </w:r>
            <w:r>
              <w:rPr>
                <w:snapToGrid w:val="0"/>
                <w:color w:val="000000"/>
                <w:kern w:val="0"/>
                <w:sz w:val="21"/>
              </w:rPr>
              <w:t>-N、动植物油</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sz w:val="21"/>
              </w:rPr>
            </w:pPr>
            <w:r>
              <w:rPr>
                <w:snapToGrid w:val="0"/>
                <w:color w:val="000000"/>
                <w:kern w:val="0"/>
                <w:sz w:val="21"/>
              </w:rPr>
              <w:t>化粪池</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rPr>
            </w:pPr>
            <w:r>
              <w:rPr>
                <w:color w:val="000000"/>
                <w:sz w:val="21"/>
              </w:rPr>
              <w:t>定期清掏用作农肥，不外排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jc w:val="center"/>
              <w:rPr>
                <w:b/>
                <w:bCs/>
                <w:snapToGrid w:val="0"/>
                <w:color w:val="000000"/>
                <w:kern w:val="0"/>
                <w:sz w:val="21"/>
              </w:rPr>
            </w:pP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sz w:val="21"/>
              </w:rPr>
            </w:pPr>
            <w:r>
              <w:rPr>
                <w:snapToGrid w:val="0"/>
                <w:color w:val="000000"/>
                <w:kern w:val="0"/>
                <w:sz w:val="21"/>
              </w:rPr>
              <w:t>地面冲洗废水</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sz w:val="21"/>
              </w:rPr>
            </w:pPr>
            <w:r>
              <w:rPr>
                <w:snapToGrid w:val="0"/>
                <w:color w:val="000000"/>
                <w:kern w:val="0"/>
                <w:sz w:val="21"/>
              </w:rPr>
              <w:t>石油类、SS</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sz w:val="21"/>
              </w:rPr>
            </w:pPr>
            <w:r>
              <w:rPr>
                <w:snapToGrid w:val="0"/>
                <w:color w:val="000000"/>
                <w:kern w:val="0"/>
                <w:sz w:val="21"/>
              </w:rPr>
              <w:t>隔油池</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sz w:val="21"/>
              </w:rPr>
            </w:pPr>
            <w:r>
              <w:rPr>
                <w:color w:val="000000"/>
                <w:sz w:val="21"/>
              </w:rPr>
              <w:t>定期清掏用作农肥，不外排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29" w:type="pct"/>
            <w:vMerge w:val="restart"/>
            <w:tcBorders>
              <w:tl2br w:val="nil"/>
              <w:tr2bl w:val="nil"/>
            </w:tcBorders>
            <w:shd w:val="clear" w:color="auto" w:fill="auto"/>
            <w:tcMar>
              <w:top w:w="28" w:type="dxa"/>
              <w:bottom w:w="28" w:type="dxa"/>
            </w:tcMar>
            <w:vAlign w:val="center"/>
          </w:tcPr>
          <w:p>
            <w:pPr>
              <w:spacing w:line="240" w:lineRule="auto"/>
              <w:ind w:firstLine="0" w:firstLineChars="0"/>
              <w:jc w:val="center"/>
              <w:rPr>
                <w:b/>
                <w:bCs/>
                <w:color w:val="000000"/>
                <w:kern w:val="0"/>
              </w:rPr>
            </w:pPr>
            <w:r>
              <w:rPr>
                <w:b/>
                <w:bCs/>
                <w:snapToGrid w:val="0"/>
                <w:color w:val="000000"/>
                <w:kern w:val="0"/>
                <w:sz w:val="21"/>
              </w:rPr>
              <w:t>大气</w:t>
            </w:r>
          </w:p>
          <w:p>
            <w:pPr>
              <w:spacing w:line="240" w:lineRule="auto"/>
              <w:ind w:firstLine="0" w:firstLineChars="0"/>
              <w:jc w:val="center"/>
              <w:rPr>
                <w:b/>
                <w:bCs/>
                <w:color w:val="000000"/>
                <w:kern w:val="0"/>
              </w:rPr>
            </w:pPr>
            <w:r>
              <w:rPr>
                <w:b/>
                <w:bCs/>
                <w:snapToGrid w:val="0"/>
                <w:color w:val="000000"/>
                <w:kern w:val="0"/>
                <w:sz w:val="21"/>
              </w:rPr>
              <w:t>污染物</w:t>
            </w: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储油</w:t>
            </w:r>
            <w:r>
              <w:rPr>
                <w:color w:val="000000"/>
                <w:kern w:val="0"/>
                <w:sz w:val="21"/>
              </w:rPr>
              <w:t>+</w:t>
            </w:r>
            <w:r>
              <w:rPr>
                <w:snapToGrid w:val="0"/>
                <w:color w:val="000000"/>
                <w:kern w:val="0"/>
                <w:sz w:val="21"/>
              </w:rPr>
              <w:t>加油</w:t>
            </w:r>
            <w:r>
              <w:rPr>
                <w:color w:val="000000"/>
                <w:kern w:val="0"/>
                <w:sz w:val="21"/>
              </w:rPr>
              <w:t>+</w:t>
            </w:r>
            <w:r>
              <w:rPr>
                <w:snapToGrid w:val="0"/>
                <w:color w:val="000000"/>
                <w:kern w:val="0"/>
                <w:sz w:val="21"/>
              </w:rPr>
              <w:t>卸油</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rPr>
            </w:pPr>
            <w:r>
              <w:rPr>
                <w:snapToGrid w:val="0"/>
                <w:color w:val="000000"/>
                <w:kern w:val="0"/>
                <w:sz w:val="21"/>
              </w:rPr>
              <w:t>油气（VOCs）</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油气回收系统</w:t>
            </w:r>
          </w:p>
        </w:tc>
        <w:tc>
          <w:tcPr>
            <w:tcW w:w="1055" w:type="pct"/>
            <w:vMerge w:val="restar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《大气污染物综合排放标准》（GB 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b/>
                <w:bCs/>
                <w:sz w:val="20"/>
                <w:szCs w:val="20"/>
              </w:rPr>
            </w:pP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员工食堂</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食堂油烟</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经家用油烟净化器</w:t>
            </w:r>
          </w:p>
        </w:tc>
        <w:tc>
          <w:tcPr>
            <w:tcW w:w="1055" w:type="pct"/>
            <w:vMerge w:val="continue"/>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b/>
                <w:bCs/>
                <w:sz w:val="20"/>
                <w:szCs w:val="20"/>
              </w:rPr>
            </w:pP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rPr>
            </w:pPr>
            <w:r>
              <w:rPr>
                <w:color w:val="000000"/>
                <w:sz w:val="21"/>
              </w:rPr>
              <w:t>柴油发电机</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snapToGrid w:val="0"/>
                <w:color w:val="000000"/>
                <w:kern w:val="0"/>
              </w:rPr>
            </w:pPr>
            <w:r>
              <w:rPr>
                <w:color w:val="000000"/>
                <w:sz w:val="21"/>
              </w:rPr>
              <w:t>配电室废气</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无组织排放</w:t>
            </w:r>
          </w:p>
        </w:tc>
        <w:tc>
          <w:tcPr>
            <w:tcW w:w="1055" w:type="pct"/>
            <w:vMerge w:val="continue"/>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restart"/>
            <w:tcBorders>
              <w:tl2br w:val="nil"/>
              <w:tr2bl w:val="nil"/>
            </w:tcBorders>
            <w:shd w:val="clear" w:color="auto" w:fill="auto"/>
            <w:tcMar>
              <w:top w:w="28" w:type="dxa"/>
              <w:bottom w:w="28" w:type="dxa"/>
            </w:tcMar>
            <w:vAlign w:val="center"/>
          </w:tcPr>
          <w:p>
            <w:pPr>
              <w:spacing w:line="240" w:lineRule="auto"/>
              <w:ind w:firstLine="0" w:firstLineChars="0"/>
              <w:jc w:val="center"/>
              <w:rPr>
                <w:b/>
                <w:bCs/>
                <w:color w:val="000000"/>
                <w:kern w:val="0"/>
              </w:rPr>
            </w:pPr>
            <w:r>
              <w:rPr>
                <w:b/>
                <w:bCs/>
                <w:snapToGrid w:val="0"/>
                <w:color w:val="000000"/>
                <w:kern w:val="0"/>
                <w:sz w:val="21"/>
              </w:rPr>
              <w:t>固体</w:t>
            </w:r>
          </w:p>
          <w:p>
            <w:pPr>
              <w:spacing w:line="240" w:lineRule="auto"/>
              <w:ind w:firstLine="0" w:firstLineChars="0"/>
              <w:jc w:val="center"/>
              <w:rPr>
                <w:b/>
                <w:bCs/>
                <w:color w:val="000000"/>
                <w:kern w:val="0"/>
              </w:rPr>
            </w:pPr>
            <w:r>
              <w:rPr>
                <w:b/>
                <w:bCs/>
                <w:snapToGrid w:val="0"/>
                <w:color w:val="000000"/>
                <w:kern w:val="0"/>
                <w:sz w:val="21"/>
              </w:rPr>
              <w:t>废物</w:t>
            </w: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生活垃圾</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生活垃圾</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统一收集后交由环卫部门处置</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b/>
                <w:bCs/>
                <w:sz w:val="20"/>
                <w:szCs w:val="20"/>
              </w:rPr>
            </w:pPr>
          </w:p>
        </w:tc>
        <w:tc>
          <w:tcPr>
            <w:tcW w:w="759" w:type="pct"/>
            <w:vMerge w:val="restar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危险废物</w:t>
            </w:r>
          </w:p>
        </w:tc>
        <w:tc>
          <w:tcPr>
            <w:tcW w:w="1036" w:type="pct"/>
            <w:tcBorders>
              <w:tl2br w:val="nil"/>
              <w:tr2bl w:val="nil"/>
            </w:tcBorders>
            <w:shd w:val="clear" w:color="auto" w:fill="auto"/>
            <w:tcMar>
              <w:top w:w="28" w:type="dxa"/>
              <w:bottom w:w="28" w:type="dxa"/>
            </w:tcMar>
            <w:vAlign w:val="center"/>
          </w:tcPr>
          <w:p>
            <w:pPr>
              <w:tabs>
                <w:tab w:val="left" w:pos="1021"/>
              </w:tabs>
              <w:spacing w:line="240" w:lineRule="auto"/>
              <w:ind w:firstLine="0" w:firstLineChars="0"/>
              <w:jc w:val="center"/>
              <w:rPr>
                <w:color w:val="000000"/>
              </w:rPr>
            </w:pPr>
            <w:r>
              <w:rPr>
                <w:color w:val="000000"/>
                <w:sz w:val="21"/>
              </w:rPr>
              <w:t>地面冲洗产生的沉渣</w:t>
            </w:r>
            <w:r>
              <w:rPr>
                <w:rFonts w:hint="eastAsia"/>
                <w:color w:val="000000"/>
                <w:sz w:val="21"/>
              </w:rPr>
              <w:t>、</w:t>
            </w:r>
            <w:r>
              <w:rPr>
                <w:color w:val="000000"/>
                <w:sz w:val="21"/>
              </w:rPr>
              <w:t>隔油池油泥</w:t>
            </w:r>
          </w:p>
        </w:tc>
        <w:tc>
          <w:tcPr>
            <w:tcW w:w="1719" w:type="pct"/>
            <w:tcBorders>
              <w:tl2br w:val="nil"/>
              <w:tr2bl w:val="nil"/>
            </w:tcBorders>
            <w:shd w:val="clear" w:color="auto" w:fill="auto"/>
            <w:tcMar>
              <w:top w:w="28" w:type="dxa"/>
              <w:bottom w:w="28" w:type="dxa"/>
            </w:tcMar>
            <w:vAlign w:val="center"/>
          </w:tcPr>
          <w:p>
            <w:pPr>
              <w:tabs>
                <w:tab w:val="left" w:pos="1021"/>
              </w:tabs>
              <w:spacing w:line="240" w:lineRule="auto"/>
              <w:ind w:firstLine="0" w:firstLineChars="0"/>
              <w:jc w:val="center"/>
              <w:rPr>
                <w:color w:val="000000"/>
              </w:rPr>
            </w:pPr>
            <w:r>
              <w:rPr>
                <w:color w:val="000000"/>
                <w:sz w:val="21"/>
              </w:rPr>
              <w:t>定期清掏后交由益阳绿芯环境资源有限公司处置</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b/>
                <w:bCs/>
                <w:sz w:val="20"/>
                <w:szCs w:val="20"/>
              </w:rPr>
            </w:pPr>
          </w:p>
        </w:tc>
        <w:tc>
          <w:tcPr>
            <w:tcW w:w="759" w:type="pct"/>
            <w:vMerge w:val="continue"/>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p>
        </w:tc>
        <w:tc>
          <w:tcPr>
            <w:tcW w:w="1036" w:type="pct"/>
            <w:tcBorders>
              <w:tl2br w:val="nil"/>
              <w:tr2bl w:val="nil"/>
            </w:tcBorders>
            <w:shd w:val="clear" w:color="auto" w:fill="auto"/>
            <w:tcMar>
              <w:top w:w="28" w:type="dxa"/>
              <w:bottom w:w="28" w:type="dxa"/>
            </w:tcMar>
            <w:vAlign w:val="center"/>
          </w:tcPr>
          <w:p>
            <w:pPr>
              <w:tabs>
                <w:tab w:val="left" w:pos="1021"/>
              </w:tabs>
              <w:spacing w:line="240" w:lineRule="auto"/>
              <w:ind w:firstLine="0" w:firstLineChars="0"/>
              <w:jc w:val="center"/>
              <w:rPr>
                <w:color w:val="000000"/>
              </w:rPr>
            </w:pPr>
            <w:r>
              <w:rPr>
                <w:color w:val="000000"/>
                <w:sz w:val="21"/>
              </w:rPr>
              <w:t>含油抹布、手套</w:t>
            </w:r>
          </w:p>
        </w:tc>
        <w:tc>
          <w:tcPr>
            <w:tcW w:w="1719" w:type="pct"/>
            <w:tcBorders>
              <w:tl2br w:val="nil"/>
              <w:tr2bl w:val="nil"/>
            </w:tcBorders>
            <w:shd w:val="clear" w:color="auto" w:fill="auto"/>
            <w:tcMar>
              <w:top w:w="28" w:type="dxa"/>
              <w:bottom w:w="28" w:type="dxa"/>
            </w:tcMar>
            <w:vAlign w:val="center"/>
          </w:tcPr>
          <w:p>
            <w:pPr>
              <w:pStyle w:val="14"/>
              <w:spacing w:line="240" w:lineRule="auto"/>
              <w:ind w:firstLine="0" w:firstLineChars="0"/>
              <w:rPr>
                <w:color w:val="000000"/>
              </w:rPr>
            </w:pPr>
            <w:r>
              <w:rPr>
                <w:color w:val="000000"/>
                <w:sz w:val="21"/>
              </w:rPr>
              <w:t>交由有资质的单位处置</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42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b/>
                <w:bCs/>
                <w:sz w:val="20"/>
                <w:szCs w:val="20"/>
              </w:rPr>
            </w:pPr>
          </w:p>
        </w:tc>
        <w:tc>
          <w:tcPr>
            <w:tcW w:w="759" w:type="pct"/>
            <w:vMerge w:val="continue"/>
            <w:tcBorders>
              <w:tl2br w:val="nil"/>
              <w:tr2bl w:val="nil"/>
            </w:tcBorders>
            <w:shd w:val="clear" w:color="auto" w:fill="auto"/>
            <w:tcMar>
              <w:top w:w="28" w:type="dxa"/>
              <w:bottom w:w="28" w:type="dxa"/>
            </w:tcMar>
            <w:vAlign w:val="center"/>
          </w:tcPr>
          <w:p>
            <w:pPr>
              <w:spacing w:line="240" w:lineRule="auto"/>
              <w:ind w:firstLine="0" w:firstLineChars="0"/>
              <w:rPr>
                <w:sz w:val="20"/>
                <w:szCs w:val="20"/>
              </w:rPr>
            </w:pPr>
          </w:p>
        </w:tc>
        <w:tc>
          <w:tcPr>
            <w:tcW w:w="1036" w:type="pct"/>
            <w:tcBorders>
              <w:tl2br w:val="nil"/>
              <w:tr2bl w:val="nil"/>
            </w:tcBorders>
            <w:shd w:val="clear" w:color="auto" w:fill="auto"/>
            <w:tcMar>
              <w:top w:w="28" w:type="dxa"/>
              <w:bottom w:w="28" w:type="dxa"/>
            </w:tcMar>
            <w:vAlign w:val="center"/>
          </w:tcPr>
          <w:p>
            <w:pPr>
              <w:tabs>
                <w:tab w:val="left" w:pos="1021"/>
              </w:tabs>
              <w:spacing w:line="240" w:lineRule="auto"/>
              <w:ind w:firstLine="0" w:firstLineChars="0"/>
              <w:jc w:val="center"/>
              <w:rPr>
                <w:color w:val="000000"/>
              </w:rPr>
            </w:pPr>
            <w:r>
              <w:rPr>
                <w:color w:val="000000"/>
                <w:sz w:val="21"/>
              </w:rPr>
              <w:t>油罐清洗过程产生的沉渣</w:t>
            </w:r>
          </w:p>
        </w:tc>
        <w:tc>
          <w:tcPr>
            <w:tcW w:w="1719" w:type="pct"/>
            <w:tcBorders>
              <w:tl2br w:val="nil"/>
              <w:tr2bl w:val="nil"/>
            </w:tcBorders>
            <w:shd w:val="clear" w:color="auto" w:fill="auto"/>
            <w:tcMar>
              <w:top w:w="28" w:type="dxa"/>
              <w:bottom w:w="28" w:type="dxa"/>
            </w:tcMar>
            <w:vAlign w:val="center"/>
          </w:tcPr>
          <w:p>
            <w:pPr>
              <w:tabs>
                <w:tab w:val="left" w:pos="1021"/>
              </w:tabs>
              <w:spacing w:line="240" w:lineRule="auto"/>
              <w:ind w:firstLine="0" w:firstLineChars="0"/>
              <w:jc w:val="center"/>
              <w:rPr>
                <w:color w:val="000000"/>
              </w:rPr>
            </w:pPr>
            <w:r>
              <w:rPr>
                <w:color w:val="000000"/>
                <w:sz w:val="21"/>
              </w:rPr>
              <w:t>由清洗油罐的公司当场运走，交由有资质单位处置，不在厂区暂存</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shd w:val="clear" w:color="auto" w:fill="auto"/>
            <w:tcMar>
              <w:top w:w="28" w:type="dxa"/>
              <w:bottom w:w="28" w:type="dxa"/>
            </w:tcMar>
            <w:vAlign w:val="center"/>
          </w:tcPr>
          <w:p>
            <w:pPr>
              <w:spacing w:line="240" w:lineRule="auto"/>
              <w:ind w:firstLine="0" w:firstLineChars="0"/>
              <w:jc w:val="center"/>
              <w:rPr>
                <w:b/>
                <w:bCs/>
                <w:color w:val="000000"/>
                <w:kern w:val="0"/>
              </w:rPr>
            </w:pPr>
            <w:r>
              <w:rPr>
                <w:b/>
                <w:bCs/>
                <w:snapToGrid w:val="0"/>
                <w:color w:val="000000"/>
                <w:kern w:val="0"/>
                <w:sz w:val="21"/>
              </w:rPr>
              <w:t>噪声</w:t>
            </w:r>
          </w:p>
        </w:tc>
        <w:tc>
          <w:tcPr>
            <w:tcW w:w="75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厂界噪声</w:t>
            </w:r>
          </w:p>
        </w:tc>
        <w:tc>
          <w:tcPr>
            <w:tcW w:w="1036"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车辆噪声、设备噪声</w:t>
            </w:r>
          </w:p>
        </w:tc>
        <w:tc>
          <w:tcPr>
            <w:tcW w:w="1719"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加油</w:t>
            </w:r>
            <w:r>
              <w:rPr>
                <w:rFonts w:hint="eastAsia"/>
                <w:snapToGrid w:val="0"/>
                <w:color w:val="000000"/>
                <w:kern w:val="0"/>
                <w:sz w:val="21"/>
              </w:rPr>
              <w:t>点</w:t>
            </w:r>
            <w:r>
              <w:rPr>
                <w:snapToGrid w:val="0"/>
                <w:color w:val="000000"/>
                <w:kern w:val="0"/>
                <w:sz w:val="21"/>
              </w:rPr>
              <w:t>进出口设置限速、禁鸣标志，产噪设备安装减震减噪措施</w:t>
            </w:r>
          </w:p>
        </w:tc>
        <w:tc>
          <w:tcPr>
            <w:tcW w:w="1055" w:type="pct"/>
            <w:tcBorders>
              <w:tl2br w:val="nil"/>
              <w:tr2bl w:val="nil"/>
            </w:tcBorders>
            <w:shd w:val="clear" w:color="auto" w:fill="auto"/>
            <w:tcMar>
              <w:top w:w="28" w:type="dxa"/>
              <w:bottom w:w="28" w:type="dxa"/>
            </w:tcMar>
            <w:vAlign w:val="center"/>
          </w:tcPr>
          <w:p>
            <w:pPr>
              <w:spacing w:line="240" w:lineRule="auto"/>
              <w:ind w:firstLine="0" w:firstLineChars="0"/>
              <w:jc w:val="center"/>
              <w:rPr>
                <w:color w:val="000000"/>
                <w:kern w:val="0"/>
              </w:rPr>
            </w:pPr>
            <w:r>
              <w:rPr>
                <w:snapToGrid w:val="0"/>
                <w:color w:val="000000"/>
                <w:kern w:val="0"/>
                <w:sz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shd w:val="clear" w:color="auto" w:fill="auto"/>
            <w:tcMar>
              <w:top w:w="28" w:type="dxa"/>
              <w:bottom w:w="28" w:type="dxa"/>
            </w:tcMar>
            <w:vAlign w:val="center"/>
          </w:tcPr>
          <w:p>
            <w:pPr>
              <w:ind w:firstLine="560"/>
            </w:pPr>
            <w:r>
              <w:t>生态保护措施及预期效果：</w:t>
            </w:r>
          </w:p>
          <w:p>
            <w:pPr>
              <w:ind w:firstLine="560"/>
            </w:pPr>
            <w:r>
              <w:t>本项目现已投产运营，施工期污染及其影响已基本消除。建设单位认真按照上述措施对各种污染物进行有效的治理，可降低其对周围生态环境的影响，并搞好周围的绿化、美化，以减少对附近区域生态环境的影响。整改措施不会扰动地表，给生态环境带来的不利影响极其微小。</w:t>
            </w:r>
          </w:p>
          <w:p>
            <w:pPr>
              <w:pStyle w:val="2"/>
              <w:ind w:firstLine="560"/>
            </w:pPr>
          </w:p>
          <w:p>
            <w:pPr>
              <w:ind w:firstLine="560"/>
            </w:pPr>
          </w:p>
          <w:p>
            <w:pPr>
              <w:pStyle w:val="2"/>
              <w:ind w:firstLine="560"/>
            </w:pPr>
          </w:p>
        </w:tc>
      </w:tr>
    </w:tbl>
    <w:p>
      <w:pPr>
        <w:ind w:firstLine="560"/>
        <w:rPr>
          <w:rFonts w:eastAsiaTheme="minorEastAsia"/>
        </w:rPr>
        <w:sectPr>
          <w:pgSz w:w="12240" w:h="15840"/>
          <w:pgMar w:top="1440" w:right="1800" w:bottom="1440" w:left="1800" w:header="720" w:footer="720" w:gutter="0"/>
          <w:cols w:space="425" w:num="1"/>
          <w:docGrid w:type="lines" w:linePitch="312" w:charSpace="0"/>
        </w:sectPr>
      </w:pPr>
    </w:p>
    <w:p>
      <w:pPr>
        <w:pStyle w:val="3"/>
        <w:numPr>
          <w:ilvl w:val="0"/>
          <w:numId w:val="6"/>
        </w:numPr>
        <w:spacing w:before="0" w:after="0" w:line="240" w:lineRule="auto"/>
        <w:ind w:firstLine="0" w:firstLineChars="0"/>
      </w:pPr>
      <w:bookmarkStart w:id="48" w:name="_Toc14313"/>
      <w:bookmarkStart w:id="49" w:name="_Toc27838"/>
      <w:bookmarkStart w:id="50" w:name="_Toc28878"/>
      <w:r>
        <w:t>结论与建议</w:t>
      </w:r>
      <w:bookmarkEnd w:id="48"/>
      <w:bookmarkEnd w:id="49"/>
      <w:bookmarkEnd w:id="50"/>
    </w:p>
    <w:tbl>
      <w:tblPr>
        <w:tblStyle w:val="27"/>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0" w:type="dxa"/>
            <w:tcBorders>
              <w:tl2br w:val="nil"/>
              <w:tr2bl w:val="nil"/>
            </w:tcBorders>
          </w:tcPr>
          <w:p>
            <w:pPr>
              <w:ind w:firstLine="0" w:firstLineChars="0"/>
              <w:jc w:val="both"/>
              <w:rPr>
                <w:b/>
                <w:bCs/>
              </w:rPr>
            </w:pPr>
            <w:r>
              <w:rPr>
                <w:b/>
                <w:bCs/>
              </w:rPr>
              <w:t>（一）结论</w:t>
            </w:r>
          </w:p>
          <w:p>
            <w:pPr>
              <w:ind w:firstLine="0" w:firstLineChars="0"/>
              <w:jc w:val="both"/>
              <w:rPr>
                <w:b/>
                <w:bCs/>
              </w:rPr>
            </w:pPr>
            <w:r>
              <w:rPr>
                <w:b/>
                <w:bCs/>
              </w:rPr>
              <w:t>1、项目概况</w:t>
            </w:r>
          </w:p>
          <w:p>
            <w:pPr>
              <w:ind w:firstLine="560"/>
              <w:jc w:val="both"/>
            </w:pPr>
            <w:r>
              <w:t>本项目总用地面积1453.3m</w:t>
            </w:r>
            <w:r>
              <w:rPr>
                <w:vertAlign w:val="superscript"/>
              </w:rPr>
              <w:t>2</w:t>
            </w:r>
            <w:r>
              <w:t>，总建筑面积971.3m</w:t>
            </w:r>
            <w:r>
              <w:rPr>
                <w:vertAlign w:val="superscript"/>
              </w:rPr>
              <w:t>2</w:t>
            </w:r>
            <w:r>
              <w:t>，其中站房面积约238m</w:t>
            </w:r>
            <w:r>
              <w:rPr>
                <w:vertAlign w:val="superscript"/>
              </w:rPr>
              <w:t>2</w:t>
            </w:r>
            <w:r>
              <w:t>，罩棚面积693m</w:t>
            </w:r>
            <w:r>
              <w:rPr>
                <w:vertAlign w:val="superscript"/>
              </w:rPr>
              <w:t>2</w:t>
            </w:r>
            <w:r>
              <w:rPr>
                <w:rFonts w:hint="eastAsia"/>
              </w:rPr>
              <w:t>，罩棚内的构筑物建筑面积为346.5m</w:t>
            </w:r>
            <w:r>
              <w:rPr>
                <w:rFonts w:hint="eastAsia"/>
                <w:vertAlign w:val="superscript"/>
              </w:rPr>
              <w:t>2</w:t>
            </w:r>
            <w:r>
              <w:t>。加油</w:t>
            </w:r>
            <w:r>
              <w:rPr>
                <w:rFonts w:hint="eastAsia"/>
              </w:rPr>
              <w:t>点</w:t>
            </w:r>
            <w:r>
              <w:t>设4台油气加油机（其中2台停用），地埋式储油罐4个（其中2个闲置）。本项目油罐总容积60m</w:t>
            </w:r>
            <w:r>
              <w:rPr>
                <w:vertAlign w:val="superscript"/>
              </w:rPr>
              <w:t>3</w:t>
            </w:r>
            <w:r>
              <w:t>，其中30m</w:t>
            </w:r>
            <w:r>
              <w:rPr>
                <w:vertAlign w:val="superscript"/>
              </w:rPr>
              <w:t>3</w:t>
            </w:r>
            <w:r>
              <w:t>的柴油罐2个（柴油罐折半计入总容积）有效容积为30m</w:t>
            </w:r>
            <w:r>
              <w:rPr>
                <w:vertAlign w:val="superscript"/>
              </w:rPr>
              <w:t>3</w:t>
            </w:r>
            <w:r>
              <w:t>，属于三级加油站，2018年6月已建成投产。</w:t>
            </w:r>
          </w:p>
          <w:p>
            <w:pPr>
              <w:ind w:firstLine="0" w:firstLineChars="0"/>
              <w:jc w:val="both"/>
              <w:rPr>
                <w:b/>
                <w:bCs/>
              </w:rPr>
            </w:pPr>
            <w:r>
              <w:rPr>
                <w:b/>
                <w:bCs/>
              </w:rPr>
              <w:t>2、区域环境质量结论</w:t>
            </w:r>
          </w:p>
          <w:p>
            <w:pPr>
              <w:ind w:firstLine="560"/>
              <w:jc w:val="both"/>
              <w:rPr>
                <w:u w:val="wave"/>
              </w:rPr>
            </w:pPr>
            <w:r>
              <w:t>大气环境质量现状：</w:t>
            </w:r>
            <w:r>
              <w:rPr>
                <w:u w:val="wave"/>
              </w:rPr>
              <w:t>项目所在区域TVOC监测数据达标，满足《环境影响评价技术导则 大气环境》（HJ2.2-2018）附录D。</w:t>
            </w:r>
          </w:p>
          <w:p>
            <w:pPr>
              <w:ind w:firstLine="560"/>
              <w:jc w:val="both"/>
            </w:pPr>
            <w:r>
              <w:rPr>
                <w:u w:val="wave"/>
              </w:rPr>
              <w:t>地表水环境质量现状：从</w:t>
            </w:r>
            <w:r>
              <w:rPr>
                <w:rFonts w:hint="eastAsia"/>
                <w:u w:val="wave"/>
              </w:rPr>
              <w:t>地表水</w:t>
            </w:r>
            <w:r>
              <w:rPr>
                <w:u w:val="wave"/>
              </w:rPr>
              <w:t>环境质量现状监测数据与评价标准对比可知，项目所在地的</w:t>
            </w:r>
            <w:r>
              <w:rPr>
                <w:rFonts w:hint="eastAsia"/>
                <w:u w:val="wave"/>
              </w:rPr>
              <w:t>地表水</w:t>
            </w:r>
            <w:r>
              <w:rPr>
                <w:u w:val="wave"/>
              </w:rPr>
              <w:t>环境质量达到了《地表水环境质量标准》（GB3838-2002）中Ⅲ类标准的要求。</w:t>
            </w:r>
          </w:p>
          <w:p>
            <w:pPr>
              <w:ind w:firstLine="560"/>
              <w:jc w:val="both"/>
            </w:pPr>
            <w:r>
              <w:t>声环境质量现状：从声环境质量现状监测数据与评价标准对比可知，项目所在地的声环境质量达到了《声环境质量标准》（GB3096-2008）2类要求。</w:t>
            </w:r>
          </w:p>
          <w:p>
            <w:pPr>
              <w:ind w:firstLine="560"/>
              <w:jc w:val="both"/>
            </w:pPr>
            <w:r>
              <w:t>生态环境质量现状：项目周边主要居民、田地等农村景。据调查，本项目所在区域内无珍稀濒危保护野生动植物。</w:t>
            </w:r>
          </w:p>
          <w:p>
            <w:pPr>
              <w:ind w:firstLine="0" w:firstLineChars="0"/>
              <w:jc w:val="both"/>
              <w:rPr>
                <w:b/>
                <w:bCs/>
              </w:rPr>
            </w:pPr>
            <w:r>
              <w:rPr>
                <w:b/>
                <w:bCs/>
              </w:rPr>
              <w:t>3、环境影响和环保措施</w:t>
            </w:r>
          </w:p>
          <w:p>
            <w:pPr>
              <w:ind w:firstLine="560"/>
              <w:jc w:val="both"/>
            </w:pPr>
            <w:r>
              <w:t>本项目已于2018年6月建成投产，且施工期未收到附近居民、企业相关单位的环保投诉，无环保遗留污染问题。</w:t>
            </w:r>
          </w:p>
          <w:p>
            <w:pPr>
              <w:ind w:firstLine="560"/>
              <w:jc w:val="both"/>
            </w:pPr>
            <w:r>
              <w:t>1）大气环境影响</w:t>
            </w:r>
          </w:p>
          <w:p>
            <w:pPr>
              <w:ind w:firstLine="560"/>
              <w:jc w:val="both"/>
            </w:pPr>
            <w:r>
              <w:t>本项目营运期产生的废气主要为：</w:t>
            </w:r>
          </w:p>
          <w:p>
            <w:pPr>
              <w:ind w:firstLine="560"/>
              <w:jc w:val="both"/>
            </w:pPr>
            <w:r>
              <w:t>油罐储存时大、小呼吸阀挥发排空，油罐车卸油及车辆加油过程中挥发的非甲烷总烃类，</w:t>
            </w:r>
            <w:r>
              <w:rPr>
                <w:rFonts w:hint="eastAsia"/>
                <w:u w:val="single"/>
              </w:rPr>
              <w:t>经过一次、二次油气回收系统99%的油气被回收。</w:t>
            </w:r>
            <w:r>
              <w:t>此外还有加油车辆产生的汽车尾气及引起的道路扬尘，另有少量备用柴油发电机废气。项目厨房规模很小，其油烟产排情况与普通居民住宅一样。</w:t>
            </w:r>
          </w:p>
          <w:p>
            <w:pPr>
              <w:ind w:firstLine="560"/>
              <w:jc w:val="both"/>
            </w:pPr>
            <w:r>
              <w:t>项目无组织排放非甲烷总烃小时浓度贡献值最大地面浓度占标率小于100%，对周边环境影响较小。配电室废气产生量较少；项目食堂油烟产生浓度约为0.8mg/m</w:t>
            </w:r>
            <w:r>
              <w:rPr>
                <w:vertAlign w:val="superscript"/>
              </w:rPr>
              <w:t>3</w:t>
            </w:r>
            <w:r>
              <w:t>，经家用油烟净化器处置后，排放浓度低于《饮食业油烟排放标准》（GB18483—2001）限值，对大气环境的影响较小。</w:t>
            </w:r>
          </w:p>
          <w:p>
            <w:pPr>
              <w:ind w:firstLine="560"/>
              <w:jc w:val="both"/>
            </w:pPr>
            <w:r>
              <w:t>综上所述，本项目废气经采取相应措施处理后对周围大气环境影响不大，环境影响可接受。</w:t>
            </w:r>
          </w:p>
          <w:p>
            <w:pPr>
              <w:ind w:firstLine="560"/>
              <w:jc w:val="both"/>
            </w:pPr>
            <w:r>
              <w:t>2）水环境影响</w:t>
            </w:r>
          </w:p>
          <w:p>
            <w:pPr>
              <w:ind w:firstLine="560"/>
              <w:jc w:val="both"/>
            </w:pPr>
            <w:r>
              <w:t>项目有汽车的柴油跑、冒、滴、漏生产废水产生产生量极少，</w:t>
            </w:r>
            <w:r>
              <w:rPr>
                <w:rFonts w:hint="eastAsia"/>
              </w:rPr>
              <w:t>本项目生活污水产生量</w:t>
            </w:r>
            <w:r>
              <w:t>为0.</w:t>
            </w:r>
            <w:r>
              <w:rPr>
                <w:rFonts w:hint="eastAsia"/>
              </w:rPr>
              <w:t>18</w:t>
            </w:r>
            <w:r>
              <w:t>m³/d</w:t>
            </w:r>
            <w:r>
              <w:rPr>
                <w:rFonts w:hint="eastAsia"/>
              </w:rPr>
              <w:t>（65.7</w:t>
            </w:r>
            <w:r>
              <w:t>m³/a</w:t>
            </w:r>
            <w:r>
              <w:rPr>
                <w:rFonts w:hint="eastAsia"/>
              </w:rPr>
              <w:t>）</w:t>
            </w:r>
            <w:r>
              <w:t>。</w:t>
            </w:r>
            <w:r>
              <w:rPr>
                <w:rFonts w:hint="eastAsia"/>
              </w:rPr>
              <w:t>场地清洗废水产生量为10.8m</w:t>
            </w:r>
            <w:r>
              <w:rPr>
                <w:rFonts w:hint="eastAsia"/>
                <w:vertAlign w:val="superscript"/>
              </w:rPr>
              <w:t>3</w:t>
            </w:r>
            <w:r>
              <w:rPr>
                <w:rFonts w:hint="eastAsia"/>
              </w:rPr>
              <w:t>/a。其中65.7</w:t>
            </w:r>
            <w:r>
              <w:t>m</w:t>
            </w:r>
            <w:r>
              <w:rPr>
                <w:rFonts w:hint="eastAsia"/>
                <w:vertAlign w:val="superscript"/>
              </w:rPr>
              <w:t>3</w:t>
            </w:r>
            <w:r>
              <w:t>/a</w:t>
            </w:r>
            <w:r>
              <w:rPr>
                <w:rFonts w:hint="eastAsia"/>
              </w:rPr>
              <w:t>生活</w:t>
            </w:r>
            <w:r>
              <w:t>污水进</w:t>
            </w:r>
            <w:r>
              <w:rPr>
                <w:rFonts w:hint="eastAsia"/>
              </w:rPr>
              <w:t>入</w:t>
            </w:r>
            <w:r>
              <w:t>化粪池定期清掏</w:t>
            </w:r>
            <w:r>
              <w:rPr>
                <w:rFonts w:hint="eastAsia"/>
              </w:rPr>
              <w:t>，用于周围菜地浇灌</w:t>
            </w:r>
            <w:r>
              <w:t>。</w:t>
            </w:r>
            <w:r>
              <w:rPr>
                <w:rFonts w:hint="eastAsia"/>
              </w:rPr>
              <w:t>10.8</w:t>
            </w:r>
            <w:r>
              <w:t>m</w:t>
            </w:r>
            <w:r>
              <w:rPr>
                <w:rFonts w:hint="eastAsia"/>
                <w:vertAlign w:val="superscript"/>
              </w:rPr>
              <w:t>3</w:t>
            </w:r>
            <w:r>
              <w:t>/a</w:t>
            </w:r>
            <w:r>
              <w:rPr>
                <w:rFonts w:hint="eastAsia"/>
              </w:rPr>
              <w:t>的场地清洗废水由</w:t>
            </w:r>
            <w:r>
              <w:t>隔油池</w:t>
            </w:r>
            <w:r>
              <w:rPr>
                <w:rFonts w:hint="eastAsia"/>
              </w:rPr>
              <w:t>进沉淀池后用于绿化，本项目废水</w:t>
            </w:r>
            <w:r>
              <w:t>不外排。因此项目废水对周围地表水环境影响较小。</w:t>
            </w:r>
          </w:p>
          <w:p>
            <w:pPr>
              <w:ind w:firstLine="560"/>
              <w:jc w:val="both"/>
            </w:pPr>
            <w:r>
              <w:t>3）声环境影响</w:t>
            </w:r>
          </w:p>
          <w:p>
            <w:pPr>
              <w:ind w:firstLine="560"/>
              <w:jc w:val="both"/>
            </w:pPr>
            <w:r>
              <w:t>本项目主要噪声源为：①项目厂区内来往的机动车行驶产生的交通噪声，噪声值约为60～80dB（A）。②加油机运行时产生的设备噪声，噪声值约为50~60dB（A）。由监测结果可知，本项目营运期厂界噪声均达到《工业企业厂界环境噪声排放标准》中2类标准。</w:t>
            </w:r>
            <w:r>
              <w:rPr>
                <w:rFonts w:hint="eastAsia"/>
                <w:lang w:val="en-US" w:eastAsia="zh-CN"/>
              </w:rPr>
              <w:t>敏感点噪声均达</w:t>
            </w:r>
            <w:r>
              <w:rPr>
                <w:rFonts w:hint="eastAsia"/>
                <w:highlight w:val="none"/>
                <w:lang w:val="en-US" w:eastAsia="zh-CN"/>
              </w:rPr>
              <w:t>到</w:t>
            </w:r>
            <w:r>
              <w:t>《声环境质量标准》（GB3096-2008）中2类标准。对周边声环境影响较小。</w:t>
            </w:r>
          </w:p>
          <w:p>
            <w:pPr>
              <w:ind w:firstLine="560"/>
              <w:jc w:val="both"/>
            </w:pPr>
            <w:r>
              <w:t>4）固体废物环境影响</w:t>
            </w:r>
          </w:p>
          <w:p>
            <w:pPr>
              <w:ind w:firstLine="560"/>
              <w:jc w:val="both"/>
            </w:pPr>
            <w:r>
              <w:t>本项目在运营过程中，产生的固体废物主要为：①生活垃圾0.73t/a：统一收集后交由环卫部门处置；②地面冲洗</w:t>
            </w:r>
            <w:r>
              <w:rPr>
                <w:rFonts w:hint="eastAsia"/>
                <w:lang w:val="en-US" w:eastAsia="zh-CN"/>
              </w:rPr>
              <w:t>油腻</w:t>
            </w:r>
            <w:r>
              <w:t>进隔油池0.1t/a，定期清掏交由益阳绿芯环境资源有限公司处置；③含油抹布和手套10kg/a，收集后交由益阳绿芯环境资源有限公司处置；④油罐清洗过程产生的沉渣40kg/次，不在厂区停留，由清洗油罐的公司当场运走。</w:t>
            </w:r>
          </w:p>
          <w:p>
            <w:pPr>
              <w:ind w:firstLine="560"/>
              <w:jc w:val="both"/>
            </w:pPr>
            <w:r>
              <w:t>综上所述，通过采取相应的控制措施，项目运营期固体废物不会对外环境造成不利影响。</w:t>
            </w:r>
          </w:p>
          <w:p>
            <w:pPr>
              <w:ind w:firstLine="0" w:firstLineChars="0"/>
              <w:jc w:val="both"/>
              <w:rPr>
                <w:b/>
                <w:bCs/>
              </w:rPr>
            </w:pPr>
            <w:r>
              <w:rPr>
                <w:b/>
                <w:bCs/>
              </w:rPr>
              <w:t>4、环境风险影响</w:t>
            </w:r>
          </w:p>
          <w:p>
            <w:pPr>
              <w:ind w:firstLine="560"/>
              <w:jc w:val="both"/>
            </w:pPr>
            <w:r>
              <w:t>项目储油罐、加油岛、卸油区油品油品泄漏等会造成一定的环境风险，企业通过加强生产和储存管理等风险防范措施，可有效降低风险事故。在采取相应风险管控措施下，项目环境风险可控。</w:t>
            </w:r>
          </w:p>
          <w:p>
            <w:pPr>
              <w:ind w:firstLine="0" w:firstLineChars="0"/>
              <w:jc w:val="both"/>
              <w:rPr>
                <w:b/>
                <w:bCs/>
              </w:rPr>
            </w:pPr>
            <w:r>
              <w:rPr>
                <w:b/>
                <w:bCs/>
              </w:rPr>
              <w:t>5、总量控制因子</w:t>
            </w:r>
          </w:p>
          <w:p>
            <w:pPr>
              <w:ind w:firstLine="560"/>
              <w:jc w:val="both"/>
            </w:pPr>
            <w:r>
              <w:t>根据本工程的具体情况，结合国家污染物排放总量控制原则，</w:t>
            </w:r>
            <w:r>
              <w:rPr>
                <w:rFonts w:hint="eastAsia"/>
              </w:rPr>
              <w:t>建议总量控制指标为VOC：</w:t>
            </w:r>
            <w:r>
              <w:rPr>
                <w:rFonts w:hint="eastAsia" w:ascii="Times New Roman" w:hAnsi="Times New Roman" w:cs="Times New Roman"/>
                <w:szCs w:val="28"/>
                <w:lang w:val="en-US" w:eastAsia="zh-CN"/>
              </w:rPr>
              <w:t>28.9044</w:t>
            </w:r>
            <w:r>
              <w:rPr>
                <w:szCs w:val="28"/>
              </w:rPr>
              <w:t>kg/a</w:t>
            </w:r>
          </w:p>
          <w:p>
            <w:pPr>
              <w:ind w:firstLine="0" w:firstLineChars="0"/>
              <w:jc w:val="both"/>
              <w:rPr>
                <w:b/>
                <w:bCs/>
              </w:rPr>
            </w:pPr>
            <w:r>
              <w:rPr>
                <w:b/>
                <w:bCs/>
              </w:rPr>
              <w:t>6、产业政策及规划符合性</w:t>
            </w:r>
          </w:p>
          <w:p>
            <w:pPr>
              <w:ind w:firstLine="560"/>
              <w:jc w:val="both"/>
            </w:pPr>
            <w:r>
              <w:t>本项目从事机动车燃油零售，根据《产业结构调整指导目录》（2019年本），未列入目录中限制类和淘汰类，符合国家产业政策。</w:t>
            </w:r>
          </w:p>
          <w:p>
            <w:pPr>
              <w:ind w:firstLine="0" w:firstLineChars="0"/>
              <w:jc w:val="both"/>
              <w:rPr>
                <w:b/>
                <w:bCs/>
              </w:rPr>
            </w:pPr>
            <w:r>
              <w:rPr>
                <w:b/>
                <w:bCs/>
              </w:rPr>
              <w:t>7、项目选址合理性和平面布局合理性</w:t>
            </w:r>
          </w:p>
          <w:p>
            <w:pPr>
              <w:ind w:firstLine="560"/>
              <w:jc w:val="both"/>
            </w:pPr>
            <w:r>
              <w:t>本项目位于桃江县鲊埠回族乡鲊埠社区一里街组，无自然保护区、风景名胜区、饮用水水源保护区等环境敏感目标，在落实各项污染防治措施的前提下，从环保角度考虑，本项目选址基本合理。</w:t>
            </w:r>
          </w:p>
          <w:p>
            <w:pPr>
              <w:ind w:firstLine="560"/>
              <w:jc w:val="both"/>
            </w:pPr>
            <w:r>
              <w:t>项目总平面的布局功能分区明确，各个功能之间互不干扰又相互联系，综上所述，项目平面布置合理。</w:t>
            </w:r>
          </w:p>
          <w:p>
            <w:pPr>
              <w:ind w:firstLine="0" w:firstLineChars="0"/>
              <w:jc w:val="both"/>
              <w:rPr>
                <w:b/>
                <w:bCs/>
              </w:rPr>
            </w:pPr>
            <w:r>
              <w:rPr>
                <w:b/>
                <w:bCs/>
              </w:rPr>
              <w:t>8、环评总结论</w:t>
            </w:r>
          </w:p>
          <w:p>
            <w:pPr>
              <w:ind w:firstLine="560"/>
              <w:jc w:val="both"/>
            </w:pPr>
            <w:r>
              <w:t>综上所述，桃江县鲊埠加油点项目符合国家产业政策和环保政策，选址可行，平面布局基本合理，所在地环境质量现状基本满足环境功能要求；各项污染防治措施经济、技术可行，可将各类污染因素的环境影响控制在环境可接受的程度和范围内。在建设单位认真落实各项整改措施、确保环保设备长期稳定正常运行、实现污染物达标排放的情况下，从环保角度分析，本建设项目是可行的。</w:t>
            </w:r>
          </w:p>
          <w:p>
            <w:pPr>
              <w:ind w:firstLine="560"/>
              <w:jc w:val="both"/>
            </w:pPr>
            <w:r>
              <w:t>（二）建议</w:t>
            </w:r>
          </w:p>
          <w:p>
            <w:pPr>
              <w:ind w:firstLine="560"/>
              <w:jc w:val="both"/>
            </w:pPr>
            <w:r>
              <w:t>1、认真落实各项目整改措施，污染防治措施落实到位后，建设单位应依据环评文件及其审批意见，编制建设项目竣工环境保护设施验收报告，完成建设项目竣工环境保护验收工作。</w:t>
            </w:r>
          </w:p>
          <w:p>
            <w:pPr>
              <w:ind w:firstLine="560"/>
              <w:jc w:val="both"/>
            </w:pPr>
            <w:r>
              <w:t>2、加强环保装置的运行管理维护，做好运行记录，确保各类污染物达标排放，并接受当地环保部门的监督检查。</w:t>
            </w:r>
          </w:p>
          <w:p>
            <w:pPr>
              <w:ind w:firstLine="560"/>
              <w:jc w:val="both"/>
            </w:pPr>
            <w:r>
              <w:t>3、加强生产管理和职工安全生产教育，严格按照操作规程生产，定期设备检修维修，减少或杜绝生产事故的发生。</w:t>
            </w:r>
          </w:p>
          <w:p>
            <w:pPr>
              <w:ind w:firstLine="560"/>
              <w:jc w:val="both"/>
            </w:pPr>
          </w:p>
          <w:p>
            <w:pPr>
              <w:ind w:firstLine="560"/>
              <w:jc w:val="both"/>
            </w:pPr>
          </w:p>
          <w:p>
            <w:pPr>
              <w:ind w:firstLine="560"/>
              <w:jc w:val="both"/>
            </w:pPr>
          </w:p>
          <w:p>
            <w:pPr>
              <w:pStyle w:val="2"/>
              <w:ind w:firstLine="560"/>
              <w:jc w:val="both"/>
            </w:pPr>
          </w:p>
          <w:p>
            <w:pPr>
              <w:ind w:firstLine="560"/>
              <w:jc w:val="both"/>
            </w:pPr>
            <w:r>
              <w:rPr>
                <w:rFonts w:hint="eastAsia"/>
              </w:rPr>
              <w:t>、</w:t>
            </w:r>
          </w:p>
          <w:p>
            <w:pPr>
              <w:ind w:firstLine="0" w:firstLineChars="0"/>
              <w:jc w:val="both"/>
            </w:pPr>
          </w:p>
        </w:tc>
      </w:tr>
    </w:tbl>
    <w:p>
      <w:pPr>
        <w:ind w:firstLine="0" w:firstLineChars="0"/>
      </w:pPr>
    </w:p>
    <w:sectPr>
      <w:pgSz w:w="12240" w:h="15840"/>
      <w:pgMar w:top="1440" w:right="1800" w:bottom="1440" w:left="1800" w:header="720" w:footer="720"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C0">
      <wne:acd wne:acdName="acd1"/>
    </wne:keymap>
  </wne:keymaps>
  <wne:acds>
    <wne:acd wne:argValue="AQAAAAEA" wne:acdName="acd0" wne:fciIndexBasedOn="0065"/>
    <wne:acd wne:argValue="AQAAAAA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新宋体-18030">
    <w:altName w:val="宋体"/>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86385" cy="1524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86385" cy="152400"/>
                      </a:xfrm>
                      <a:prstGeom prst="rect">
                        <a:avLst/>
                      </a:prstGeom>
                      <a:noFill/>
                      <a:ln w="6350">
                        <a:noFill/>
                      </a:ln>
                    </wps:spPr>
                    <wps:txbx>
                      <w:txbxContent>
                        <w:p>
                          <w:pPr>
                            <w:pStyle w:val="19"/>
                            <w:ind w:firstLine="360"/>
                            <w:rPr>
                              <w:rFonts w:eastAsia="宋体"/>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22.55pt;mso-position-horizontal:center;mso-position-horizontal-relative:margin;mso-wrap-style:none;z-index:251658240;mso-width-relative:page;mso-height-relative:page;" filled="f" stroked="f" coordsize="21600,21600" o:gfxdata="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PmFk/SAAAAAwEAAA8AAAAAAAAAAQAgAAAAIgAAAGRycy9kb3ducmV2LnhtbFBLAQIUABQA&#10;AAAIAIdO4kDxdvJ/LwIAAFUEAAAOAAAAAAAAAAEAIAAAACEBAABkcnMvZTJvRG9jLnhtbFBLBQYA&#10;AAAABgAGAFkBAADCBQAAAAA=&#10;">
              <v:fill on="f" focussize="0,0"/>
              <v:stroke on="f" weight="0.5pt"/>
              <v:imagedata o:title=""/>
              <o:lock v:ext="edit" aspectratio="f"/>
              <v:textbox inset="0mm,0mm,0mm,0mm" style="mso-fit-shape-to-text:t;">
                <w:txbxContent>
                  <w:p>
                    <w:pPr>
                      <w:pStyle w:val="19"/>
                      <w:ind w:firstLine="360"/>
                      <w:rPr>
                        <w:rFonts w:eastAsia="宋体"/>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6E3426"/>
    <w:multiLevelType w:val="singleLevel"/>
    <w:tmpl w:val="AA6E3426"/>
    <w:lvl w:ilvl="0" w:tentative="0">
      <w:start w:val="4"/>
      <w:numFmt w:val="decimal"/>
      <w:suff w:val="nothing"/>
      <w:lvlText w:val="（%1）"/>
      <w:lvlJc w:val="left"/>
    </w:lvl>
  </w:abstractNum>
  <w:abstractNum w:abstractNumId="1">
    <w:nsid w:val="B4983860"/>
    <w:multiLevelType w:val="singleLevel"/>
    <w:tmpl w:val="B4983860"/>
    <w:lvl w:ilvl="0" w:tentative="0">
      <w:start w:val="8"/>
      <w:numFmt w:val="chineseCounting"/>
      <w:suff w:val="nothing"/>
      <w:lvlText w:val="（%1）"/>
      <w:lvlJc w:val="left"/>
      <w:rPr>
        <w:rFonts w:hint="eastAsia"/>
      </w:rPr>
    </w:lvl>
  </w:abstractNum>
  <w:abstractNum w:abstractNumId="2">
    <w:nsid w:val="D27B6E5B"/>
    <w:multiLevelType w:val="singleLevel"/>
    <w:tmpl w:val="D27B6E5B"/>
    <w:lvl w:ilvl="0" w:tentative="0">
      <w:start w:val="2"/>
      <w:numFmt w:val="chineseCounting"/>
      <w:suff w:val="nothing"/>
      <w:lvlText w:val="%1、"/>
      <w:lvlJc w:val="left"/>
      <w:rPr>
        <w:rFonts w:hint="eastAsia"/>
      </w:rPr>
    </w:lvl>
  </w:abstractNum>
  <w:abstractNum w:abstractNumId="3">
    <w:nsid w:val="E358E1A0"/>
    <w:multiLevelType w:val="multilevel"/>
    <w:tmpl w:val="E358E1A0"/>
    <w:lvl w:ilvl="0" w:tentative="0">
      <w:start w:val="1"/>
      <w:numFmt w:val="decimal"/>
      <w:suff w:val="nothing"/>
      <w:lvlText w:val="%1  "/>
      <w:lvlJc w:val="left"/>
      <w:pPr>
        <w:ind w:left="284"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pStyle w:val="8"/>
      <w:isLgl/>
      <w:suff w:val="space"/>
      <w:lvlText w:val="%1.%2.%3.%4.%5.%6"/>
      <w:lvlJc w:val="left"/>
      <w:pPr>
        <w:ind w:left="0" w:firstLine="0"/>
      </w:pPr>
      <w:rPr>
        <w:rFonts w:hint="eastAsia"/>
      </w:rPr>
    </w:lvl>
    <w:lvl w:ilvl="6" w:tentative="0">
      <w:start w:val="1"/>
      <w:numFmt w:val="decimal"/>
      <w:pStyle w:val="9"/>
      <w:isLgl/>
      <w:suff w:val="space"/>
      <w:lvlText w:val="%1.%2.%3.%4.%5.%6.%7"/>
      <w:lvlJc w:val="left"/>
      <w:pPr>
        <w:ind w:left="0" w:firstLine="0"/>
      </w:pPr>
      <w:rPr>
        <w:rFonts w:hint="eastAsia"/>
      </w:rPr>
    </w:lvl>
    <w:lvl w:ilvl="7" w:tentative="0">
      <w:start w:val="1"/>
      <w:numFmt w:val="decimal"/>
      <w:pStyle w:val="10"/>
      <w:isLgl/>
      <w:suff w:val="space"/>
      <w:lvlText w:val="%1.%2.%3.%4.%5.%6.%7.%8"/>
      <w:lvlJc w:val="left"/>
      <w:pPr>
        <w:ind w:left="0" w:firstLine="0"/>
      </w:pPr>
      <w:rPr>
        <w:rFonts w:hint="eastAsia"/>
      </w:rPr>
    </w:lvl>
    <w:lvl w:ilvl="8" w:tentative="0">
      <w:start w:val="1"/>
      <w:numFmt w:val="decimal"/>
      <w:pStyle w:val="11"/>
      <w:isLgl/>
      <w:suff w:val="space"/>
      <w:lvlText w:val="%1.%2.%3.%4.%5.%6.%7.%8.%9"/>
      <w:lvlJc w:val="left"/>
      <w:pPr>
        <w:ind w:left="0" w:firstLine="0"/>
      </w:pPr>
      <w:rPr>
        <w:rFonts w:hint="eastAsia"/>
      </w:rPr>
    </w:lvl>
  </w:abstractNum>
  <w:abstractNum w:abstractNumId="4">
    <w:nsid w:val="FD2D4603"/>
    <w:multiLevelType w:val="singleLevel"/>
    <w:tmpl w:val="FD2D4603"/>
    <w:lvl w:ilvl="0" w:tentative="0">
      <w:start w:val="1"/>
      <w:numFmt w:val="decimal"/>
      <w:suff w:val="nothing"/>
      <w:lvlText w:val="%1、"/>
      <w:lvlJc w:val="left"/>
    </w:lvl>
  </w:abstractNum>
  <w:abstractNum w:abstractNumId="5">
    <w:nsid w:val="080C15E6"/>
    <w:multiLevelType w:val="singleLevel"/>
    <w:tmpl w:val="080C15E6"/>
    <w:lvl w:ilvl="0" w:tentative="0">
      <w:start w:val="2"/>
      <w:numFmt w:val="decimal"/>
      <w:suff w:val="nothing"/>
      <w:lvlText w:val="%1、"/>
      <w:lvlJc w:val="left"/>
    </w:lvl>
  </w:abstractNum>
  <w:abstractNum w:abstractNumId="6">
    <w:nsid w:val="651A9958"/>
    <w:multiLevelType w:val="singleLevel"/>
    <w:tmpl w:val="651A9958"/>
    <w:lvl w:ilvl="0" w:tentative="0">
      <w:start w:val="1"/>
      <w:numFmt w:val="decimal"/>
      <w:lvlText w:val="%1."/>
      <w:lvlJc w:val="left"/>
      <w:pPr>
        <w:tabs>
          <w:tab w:val="left" w:pos="312"/>
        </w:tabs>
      </w:pPr>
    </w:lvl>
  </w:abstractNum>
  <w:num w:numId="1">
    <w:abstractNumId w:val="3"/>
  </w:num>
  <w:num w:numId="2">
    <w:abstractNumId w:val="6"/>
  </w:num>
  <w:num w:numId="3">
    <w:abstractNumId w:val="5"/>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4554"/>
    <w:rsid w:val="00017826"/>
    <w:rsid w:val="00075532"/>
    <w:rsid w:val="00096B12"/>
    <w:rsid w:val="000C726E"/>
    <w:rsid w:val="000D08C3"/>
    <w:rsid w:val="00127915"/>
    <w:rsid w:val="00130539"/>
    <w:rsid w:val="00172A27"/>
    <w:rsid w:val="00184D81"/>
    <w:rsid w:val="001B3A64"/>
    <w:rsid w:val="001C697C"/>
    <w:rsid w:val="001F2EA3"/>
    <w:rsid w:val="001F7EE0"/>
    <w:rsid w:val="002006B6"/>
    <w:rsid w:val="0021068E"/>
    <w:rsid w:val="00261632"/>
    <w:rsid w:val="002A3054"/>
    <w:rsid w:val="002A78A1"/>
    <w:rsid w:val="002B57A4"/>
    <w:rsid w:val="002C7FA6"/>
    <w:rsid w:val="002E44B1"/>
    <w:rsid w:val="002F2E7C"/>
    <w:rsid w:val="0032172B"/>
    <w:rsid w:val="00326308"/>
    <w:rsid w:val="003340E0"/>
    <w:rsid w:val="00344377"/>
    <w:rsid w:val="003647EE"/>
    <w:rsid w:val="003A32B6"/>
    <w:rsid w:val="003A787F"/>
    <w:rsid w:val="003F237E"/>
    <w:rsid w:val="00402B1A"/>
    <w:rsid w:val="00406F03"/>
    <w:rsid w:val="00433CAA"/>
    <w:rsid w:val="00434B68"/>
    <w:rsid w:val="0043510C"/>
    <w:rsid w:val="00472365"/>
    <w:rsid w:val="004747ED"/>
    <w:rsid w:val="00480D88"/>
    <w:rsid w:val="004A3785"/>
    <w:rsid w:val="004C1FF2"/>
    <w:rsid w:val="004D20E1"/>
    <w:rsid w:val="004E1AAB"/>
    <w:rsid w:val="004F7A65"/>
    <w:rsid w:val="00512979"/>
    <w:rsid w:val="005646E8"/>
    <w:rsid w:val="00585488"/>
    <w:rsid w:val="005A4A03"/>
    <w:rsid w:val="005B6BEC"/>
    <w:rsid w:val="005B7270"/>
    <w:rsid w:val="00620C2D"/>
    <w:rsid w:val="0062382B"/>
    <w:rsid w:val="00643ABE"/>
    <w:rsid w:val="0065188D"/>
    <w:rsid w:val="006549FD"/>
    <w:rsid w:val="0066760B"/>
    <w:rsid w:val="00685170"/>
    <w:rsid w:val="00694407"/>
    <w:rsid w:val="006C3367"/>
    <w:rsid w:val="0073153A"/>
    <w:rsid w:val="007347FC"/>
    <w:rsid w:val="00745D03"/>
    <w:rsid w:val="007B0D34"/>
    <w:rsid w:val="007B0E06"/>
    <w:rsid w:val="007D61AE"/>
    <w:rsid w:val="007D66C5"/>
    <w:rsid w:val="007E491E"/>
    <w:rsid w:val="007F3567"/>
    <w:rsid w:val="007F4469"/>
    <w:rsid w:val="00862326"/>
    <w:rsid w:val="00875050"/>
    <w:rsid w:val="008A4D59"/>
    <w:rsid w:val="008D2462"/>
    <w:rsid w:val="008D2EEF"/>
    <w:rsid w:val="008D6E7B"/>
    <w:rsid w:val="00971219"/>
    <w:rsid w:val="00997236"/>
    <w:rsid w:val="009A7A9D"/>
    <w:rsid w:val="00A330B2"/>
    <w:rsid w:val="00A43DAB"/>
    <w:rsid w:val="00A44947"/>
    <w:rsid w:val="00A957D1"/>
    <w:rsid w:val="00AD36B9"/>
    <w:rsid w:val="00AE06CD"/>
    <w:rsid w:val="00B34C1D"/>
    <w:rsid w:val="00B34C7E"/>
    <w:rsid w:val="00B76084"/>
    <w:rsid w:val="00BA380E"/>
    <w:rsid w:val="00BD1BBD"/>
    <w:rsid w:val="00C15D6E"/>
    <w:rsid w:val="00C3056B"/>
    <w:rsid w:val="00C34F1F"/>
    <w:rsid w:val="00C428B8"/>
    <w:rsid w:val="00C86C5A"/>
    <w:rsid w:val="00C90851"/>
    <w:rsid w:val="00CD0229"/>
    <w:rsid w:val="00CE2D23"/>
    <w:rsid w:val="00CE3360"/>
    <w:rsid w:val="00D169AE"/>
    <w:rsid w:val="00D61A36"/>
    <w:rsid w:val="00D8666F"/>
    <w:rsid w:val="00DA1D1B"/>
    <w:rsid w:val="00DA33A6"/>
    <w:rsid w:val="00DC5D2E"/>
    <w:rsid w:val="00DF39D4"/>
    <w:rsid w:val="00E1188B"/>
    <w:rsid w:val="00E60B1A"/>
    <w:rsid w:val="00E6726E"/>
    <w:rsid w:val="00E70B2F"/>
    <w:rsid w:val="00E710D8"/>
    <w:rsid w:val="00EB0124"/>
    <w:rsid w:val="00EC5533"/>
    <w:rsid w:val="00ED169B"/>
    <w:rsid w:val="00EF0697"/>
    <w:rsid w:val="00F26E8A"/>
    <w:rsid w:val="00F564AF"/>
    <w:rsid w:val="00FB1FBC"/>
    <w:rsid w:val="00FC4579"/>
    <w:rsid w:val="01A73D29"/>
    <w:rsid w:val="02792C29"/>
    <w:rsid w:val="030F2F34"/>
    <w:rsid w:val="0369395E"/>
    <w:rsid w:val="045D391C"/>
    <w:rsid w:val="04FE6F1B"/>
    <w:rsid w:val="051D3CD7"/>
    <w:rsid w:val="05B77B02"/>
    <w:rsid w:val="06575E21"/>
    <w:rsid w:val="06BF4B0F"/>
    <w:rsid w:val="070236C7"/>
    <w:rsid w:val="07720924"/>
    <w:rsid w:val="08893770"/>
    <w:rsid w:val="08DF287A"/>
    <w:rsid w:val="093625DB"/>
    <w:rsid w:val="0986241C"/>
    <w:rsid w:val="0A0138FF"/>
    <w:rsid w:val="0B7B3275"/>
    <w:rsid w:val="0BA367F3"/>
    <w:rsid w:val="0C16302E"/>
    <w:rsid w:val="0C655E05"/>
    <w:rsid w:val="0CAC05CC"/>
    <w:rsid w:val="0D774BEF"/>
    <w:rsid w:val="0DA049A1"/>
    <w:rsid w:val="0EB1295D"/>
    <w:rsid w:val="0F7753D5"/>
    <w:rsid w:val="0FDD61DA"/>
    <w:rsid w:val="10367EAF"/>
    <w:rsid w:val="110D692A"/>
    <w:rsid w:val="11F6495D"/>
    <w:rsid w:val="12667E41"/>
    <w:rsid w:val="12D1444D"/>
    <w:rsid w:val="132F3ACC"/>
    <w:rsid w:val="1342099B"/>
    <w:rsid w:val="13BC4FC7"/>
    <w:rsid w:val="13EB5FA0"/>
    <w:rsid w:val="144E0C0B"/>
    <w:rsid w:val="146F1266"/>
    <w:rsid w:val="14E736B5"/>
    <w:rsid w:val="1508423E"/>
    <w:rsid w:val="150E7BB3"/>
    <w:rsid w:val="16D4702F"/>
    <w:rsid w:val="17200BA6"/>
    <w:rsid w:val="176070D1"/>
    <w:rsid w:val="17FB4878"/>
    <w:rsid w:val="182C6111"/>
    <w:rsid w:val="18BB19CE"/>
    <w:rsid w:val="19B97030"/>
    <w:rsid w:val="1A0A4B80"/>
    <w:rsid w:val="1A634DD8"/>
    <w:rsid w:val="1A9765D4"/>
    <w:rsid w:val="1AA261D5"/>
    <w:rsid w:val="1CFE4ED8"/>
    <w:rsid w:val="1DD14281"/>
    <w:rsid w:val="1EDD5669"/>
    <w:rsid w:val="1F341CDF"/>
    <w:rsid w:val="1F3437F5"/>
    <w:rsid w:val="1F996A90"/>
    <w:rsid w:val="217B33FA"/>
    <w:rsid w:val="21BE404A"/>
    <w:rsid w:val="223472F6"/>
    <w:rsid w:val="2278790C"/>
    <w:rsid w:val="24F05F99"/>
    <w:rsid w:val="25096180"/>
    <w:rsid w:val="254A788A"/>
    <w:rsid w:val="25F877AA"/>
    <w:rsid w:val="2630148B"/>
    <w:rsid w:val="27261BFD"/>
    <w:rsid w:val="2755014B"/>
    <w:rsid w:val="278231F9"/>
    <w:rsid w:val="2822323A"/>
    <w:rsid w:val="28856B06"/>
    <w:rsid w:val="290249FA"/>
    <w:rsid w:val="290D4946"/>
    <w:rsid w:val="297770BB"/>
    <w:rsid w:val="298B0EE4"/>
    <w:rsid w:val="2A1009A4"/>
    <w:rsid w:val="2B836366"/>
    <w:rsid w:val="2BD7711E"/>
    <w:rsid w:val="2C8A7E8E"/>
    <w:rsid w:val="2CFC333C"/>
    <w:rsid w:val="2D183348"/>
    <w:rsid w:val="2DFD2A63"/>
    <w:rsid w:val="2E105EAA"/>
    <w:rsid w:val="2EA43059"/>
    <w:rsid w:val="30430718"/>
    <w:rsid w:val="3186236E"/>
    <w:rsid w:val="31E44CDD"/>
    <w:rsid w:val="31FD0054"/>
    <w:rsid w:val="321B7ECF"/>
    <w:rsid w:val="32F744E3"/>
    <w:rsid w:val="33141385"/>
    <w:rsid w:val="332C5FDB"/>
    <w:rsid w:val="344F1D8E"/>
    <w:rsid w:val="349A5B29"/>
    <w:rsid w:val="352F6BE6"/>
    <w:rsid w:val="359B1578"/>
    <w:rsid w:val="35C04598"/>
    <w:rsid w:val="35E51E55"/>
    <w:rsid w:val="36422170"/>
    <w:rsid w:val="36603349"/>
    <w:rsid w:val="36E32090"/>
    <w:rsid w:val="374A1784"/>
    <w:rsid w:val="379F27D1"/>
    <w:rsid w:val="38A22150"/>
    <w:rsid w:val="39D959D1"/>
    <w:rsid w:val="3A6448EE"/>
    <w:rsid w:val="3A687B8F"/>
    <w:rsid w:val="3A9927B7"/>
    <w:rsid w:val="3CB34DD4"/>
    <w:rsid w:val="3CC54302"/>
    <w:rsid w:val="3D0B1C1B"/>
    <w:rsid w:val="3D1D388C"/>
    <w:rsid w:val="3D883476"/>
    <w:rsid w:val="3DC37D30"/>
    <w:rsid w:val="3DD06B77"/>
    <w:rsid w:val="3E0E1BAD"/>
    <w:rsid w:val="3E9A5553"/>
    <w:rsid w:val="3EEC4C33"/>
    <w:rsid w:val="3F293129"/>
    <w:rsid w:val="3FA75F68"/>
    <w:rsid w:val="401568E1"/>
    <w:rsid w:val="422F1A68"/>
    <w:rsid w:val="42865D46"/>
    <w:rsid w:val="42B61A18"/>
    <w:rsid w:val="42CF2784"/>
    <w:rsid w:val="43D267A5"/>
    <w:rsid w:val="457C044E"/>
    <w:rsid w:val="45F93384"/>
    <w:rsid w:val="45FC6DB4"/>
    <w:rsid w:val="46FD076E"/>
    <w:rsid w:val="47870C77"/>
    <w:rsid w:val="47BD2D72"/>
    <w:rsid w:val="47FB1632"/>
    <w:rsid w:val="487937F2"/>
    <w:rsid w:val="49280C50"/>
    <w:rsid w:val="4A3F6B1E"/>
    <w:rsid w:val="4AB51E27"/>
    <w:rsid w:val="4B024573"/>
    <w:rsid w:val="4B375CAE"/>
    <w:rsid w:val="4B5C1334"/>
    <w:rsid w:val="4B770F4C"/>
    <w:rsid w:val="4BB8489A"/>
    <w:rsid w:val="4C1D73ED"/>
    <w:rsid w:val="4C704825"/>
    <w:rsid w:val="4CE40E50"/>
    <w:rsid w:val="4D2B0C4A"/>
    <w:rsid w:val="4E610B45"/>
    <w:rsid w:val="4EBB645E"/>
    <w:rsid w:val="4ED95462"/>
    <w:rsid w:val="4F500C2F"/>
    <w:rsid w:val="4F802CAB"/>
    <w:rsid w:val="502774E8"/>
    <w:rsid w:val="506B76C2"/>
    <w:rsid w:val="51D94B25"/>
    <w:rsid w:val="52080CCE"/>
    <w:rsid w:val="527A4656"/>
    <w:rsid w:val="531539D4"/>
    <w:rsid w:val="531F2A8B"/>
    <w:rsid w:val="541A5A13"/>
    <w:rsid w:val="54FA29FD"/>
    <w:rsid w:val="554E3BCD"/>
    <w:rsid w:val="579C24A7"/>
    <w:rsid w:val="584A3B47"/>
    <w:rsid w:val="58A7221E"/>
    <w:rsid w:val="58B27EC2"/>
    <w:rsid w:val="5A0F3396"/>
    <w:rsid w:val="5A3F354D"/>
    <w:rsid w:val="5AC96A8C"/>
    <w:rsid w:val="5B013496"/>
    <w:rsid w:val="5B3540D3"/>
    <w:rsid w:val="5B6B4C75"/>
    <w:rsid w:val="5CCC4E6A"/>
    <w:rsid w:val="5CCE4A00"/>
    <w:rsid w:val="5D3E32C1"/>
    <w:rsid w:val="5E3A36A2"/>
    <w:rsid w:val="5EF90C0F"/>
    <w:rsid w:val="61D27187"/>
    <w:rsid w:val="62917989"/>
    <w:rsid w:val="62CC0189"/>
    <w:rsid w:val="62EB08F3"/>
    <w:rsid w:val="63731CA0"/>
    <w:rsid w:val="639B65EE"/>
    <w:rsid w:val="641E757D"/>
    <w:rsid w:val="64707B17"/>
    <w:rsid w:val="64F82AB8"/>
    <w:rsid w:val="661517EF"/>
    <w:rsid w:val="661F17F6"/>
    <w:rsid w:val="66264182"/>
    <w:rsid w:val="66751C3D"/>
    <w:rsid w:val="669769AC"/>
    <w:rsid w:val="66D50FB4"/>
    <w:rsid w:val="670940D4"/>
    <w:rsid w:val="67253ABA"/>
    <w:rsid w:val="67744A17"/>
    <w:rsid w:val="68694642"/>
    <w:rsid w:val="6A5B3C95"/>
    <w:rsid w:val="6A7F4D9C"/>
    <w:rsid w:val="6B5B2D17"/>
    <w:rsid w:val="6C792FE8"/>
    <w:rsid w:val="6CD675C7"/>
    <w:rsid w:val="6E5D2786"/>
    <w:rsid w:val="70410C4A"/>
    <w:rsid w:val="711842E0"/>
    <w:rsid w:val="721B656D"/>
    <w:rsid w:val="72B34577"/>
    <w:rsid w:val="73021B66"/>
    <w:rsid w:val="73423D9F"/>
    <w:rsid w:val="73A615F2"/>
    <w:rsid w:val="73B62471"/>
    <w:rsid w:val="74222197"/>
    <w:rsid w:val="74335545"/>
    <w:rsid w:val="74CD5D02"/>
    <w:rsid w:val="74D57E34"/>
    <w:rsid w:val="77CC6D74"/>
    <w:rsid w:val="782B6845"/>
    <w:rsid w:val="787B51A8"/>
    <w:rsid w:val="79320807"/>
    <w:rsid w:val="79F85D71"/>
    <w:rsid w:val="7A7E7427"/>
    <w:rsid w:val="7AD8481A"/>
    <w:rsid w:val="7C442322"/>
    <w:rsid w:val="7C633B2E"/>
    <w:rsid w:val="7C85424D"/>
    <w:rsid w:val="7D7037F9"/>
    <w:rsid w:val="7F8C10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520" w:lineRule="exact"/>
      <w:ind w:firstLine="200" w:firstLineChars="200"/>
    </w:pPr>
    <w:rPr>
      <w:rFonts w:ascii="Times New Roman" w:hAnsi="Times New Roman" w:eastAsia="仿宋" w:cs="Times New Roman"/>
      <w:kern w:val="2"/>
      <w:sz w:val="28"/>
      <w:szCs w:val="21"/>
      <w:lang w:val="en-US" w:eastAsia="zh-CN" w:bidi="ar-SA"/>
    </w:rPr>
  </w:style>
  <w:style w:type="paragraph" w:styleId="3">
    <w:name w:val="heading 1"/>
    <w:basedOn w:val="1"/>
    <w:next w:val="1"/>
    <w:link w:val="42"/>
    <w:qFormat/>
    <w:uiPriority w:val="0"/>
    <w:pPr>
      <w:keepNext/>
      <w:keepLines/>
      <w:spacing w:before="340" w:after="330" w:line="576" w:lineRule="auto"/>
      <w:jc w:val="both"/>
      <w:outlineLvl w:val="0"/>
    </w:pPr>
    <w:rPr>
      <w:b/>
      <w:kern w:val="44"/>
      <w:sz w:val="32"/>
      <w:szCs w:val="20"/>
    </w:rPr>
  </w:style>
  <w:style w:type="paragraph" w:styleId="4">
    <w:name w:val="heading 2"/>
    <w:basedOn w:val="3"/>
    <w:next w:val="1"/>
    <w:link w:val="34"/>
    <w:unhideWhenUsed/>
    <w:qFormat/>
    <w:uiPriority w:val="0"/>
    <w:pPr>
      <w:adjustRightInd/>
      <w:snapToGrid w:val="0"/>
      <w:spacing w:beforeLines="50" w:afterLines="50" w:line="520" w:lineRule="exact"/>
      <w:jc w:val="left"/>
      <w:outlineLvl w:val="1"/>
    </w:pPr>
    <w:rPr>
      <w:szCs w:val="32"/>
    </w:rPr>
  </w:style>
  <w:style w:type="paragraph" w:styleId="5">
    <w:name w:val="heading 3"/>
    <w:basedOn w:val="1"/>
    <w:next w:val="1"/>
    <w:link w:val="33"/>
    <w:semiHidden/>
    <w:unhideWhenUsed/>
    <w:qFormat/>
    <w:uiPriority w:val="0"/>
    <w:pPr>
      <w:keepNext/>
      <w:keepLines/>
      <w:ind w:firstLine="0" w:firstLineChars="0"/>
      <w:outlineLvl w:val="2"/>
    </w:pPr>
    <w:rPr>
      <w:b/>
      <w:bCs/>
      <w:sz w:val="30"/>
      <w:szCs w:val="32"/>
    </w:rPr>
  </w:style>
  <w:style w:type="paragraph" w:styleId="6">
    <w:name w:val="heading 4"/>
    <w:basedOn w:val="1"/>
    <w:next w:val="1"/>
    <w:link w:val="35"/>
    <w:semiHidden/>
    <w:unhideWhenUsed/>
    <w:qFormat/>
    <w:uiPriority w:val="0"/>
    <w:pPr>
      <w:keepNext/>
      <w:keepLines/>
      <w:ind w:firstLine="0" w:firstLineChars="0"/>
      <w:outlineLvl w:val="3"/>
    </w:pPr>
    <w:rPr>
      <w:b/>
      <w:bCs/>
      <w:szCs w:val="28"/>
    </w:rPr>
  </w:style>
  <w:style w:type="paragraph" w:styleId="7">
    <w:name w:val="heading 5"/>
    <w:next w:val="1"/>
    <w:link w:val="36"/>
    <w:semiHidden/>
    <w:unhideWhenUsed/>
    <w:qFormat/>
    <w:uiPriority w:val="0"/>
    <w:pPr>
      <w:keepNext/>
      <w:keepLines/>
      <w:spacing w:line="360" w:lineRule="auto"/>
      <w:outlineLvl w:val="4"/>
    </w:pPr>
    <w:rPr>
      <w:rFonts w:ascii="Times New Roman" w:hAnsi="Times New Roman" w:eastAsia="仿宋" w:cs="Times New Roman"/>
      <w:b/>
      <w:bCs/>
      <w:kern w:val="2"/>
      <w:sz w:val="24"/>
      <w:szCs w:val="28"/>
      <w:lang w:val="en-US" w:eastAsia="zh-CN" w:bidi="ar-SA"/>
    </w:rPr>
  </w:style>
  <w:style w:type="paragraph" w:styleId="8">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ind w:firstLineChars="0"/>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64"/>
    <w:qFormat/>
    <w:uiPriority w:val="0"/>
    <w:pPr>
      <w:spacing w:after="120"/>
    </w:pPr>
  </w:style>
  <w:style w:type="paragraph" w:styleId="12">
    <w:name w:val="caption"/>
    <w:basedOn w:val="1"/>
    <w:next w:val="1"/>
    <w:link w:val="43"/>
    <w:unhideWhenUsed/>
    <w:qFormat/>
    <w:uiPriority w:val="0"/>
    <w:pPr>
      <w:snapToGrid w:val="0"/>
      <w:jc w:val="center"/>
    </w:pPr>
    <w:rPr>
      <w:rFonts w:hint="eastAsia" w:ascii="黑体" w:hAnsi="宋体" w:eastAsia="黑体"/>
      <w:kern w:val="0"/>
      <w:szCs w:val="20"/>
    </w:rPr>
  </w:style>
  <w:style w:type="paragraph" w:styleId="13">
    <w:name w:val="Document Map"/>
    <w:basedOn w:val="1"/>
    <w:link w:val="61"/>
    <w:qFormat/>
    <w:uiPriority w:val="0"/>
    <w:rPr>
      <w:rFonts w:ascii="宋体"/>
      <w:sz w:val="18"/>
      <w:szCs w:val="18"/>
    </w:rPr>
  </w:style>
  <w:style w:type="paragraph" w:styleId="14">
    <w:name w:val="annotation text"/>
    <w:basedOn w:val="1"/>
    <w:link w:val="55"/>
    <w:qFormat/>
    <w:uiPriority w:val="0"/>
  </w:style>
  <w:style w:type="paragraph" w:styleId="15">
    <w:name w:val="Body Text Indent"/>
    <w:basedOn w:val="1"/>
    <w:qFormat/>
    <w:uiPriority w:val="0"/>
    <w:pPr>
      <w:spacing w:after="120"/>
      <w:ind w:left="420" w:leftChars="200"/>
    </w:pPr>
    <w:rPr>
      <w:szCs w:val="24"/>
    </w:rPr>
  </w:style>
  <w:style w:type="paragraph" w:styleId="16">
    <w:name w:val="Plain Text"/>
    <w:basedOn w:val="1"/>
    <w:qFormat/>
    <w:uiPriority w:val="0"/>
    <w:pPr>
      <w:jc w:val="both"/>
    </w:pPr>
    <w:rPr>
      <w:rFonts w:ascii="宋体" w:hAnsi="Courier New" w:eastAsiaTheme="minorEastAsia" w:cstheme="minorBidi"/>
      <w:sz w:val="21"/>
      <w:szCs w:val="24"/>
    </w:rPr>
  </w:style>
  <w:style w:type="paragraph" w:styleId="17">
    <w:name w:val="Body Text Indent 2"/>
    <w:basedOn w:val="1"/>
    <w:link w:val="49"/>
    <w:qFormat/>
    <w:uiPriority w:val="0"/>
    <w:pPr>
      <w:spacing w:after="120" w:line="480" w:lineRule="auto"/>
      <w:ind w:left="420" w:leftChars="200"/>
      <w:jc w:val="both"/>
    </w:pPr>
    <w:rPr>
      <w:sz w:val="21"/>
      <w:szCs w:val="20"/>
    </w:rPr>
  </w:style>
  <w:style w:type="paragraph" w:styleId="18">
    <w:name w:val="Balloon Text"/>
    <w:basedOn w:val="1"/>
    <w:link w:val="37"/>
    <w:qFormat/>
    <w:uiPriority w:val="0"/>
    <w:pPr>
      <w:spacing w:line="240" w:lineRule="auto"/>
    </w:pPr>
    <w:rPr>
      <w:sz w:val="18"/>
      <w:szCs w:val="18"/>
    </w:rPr>
  </w:style>
  <w:style w:type="paragraph" w:styleId="19">
    <w:name w:val="footer"/>
    <w:basedOn w:val="1"/>
    <w:link w:val="59"/>
    <w:qFormat/>
    <w:uiPriority w:val="0"/>
    <w:pPr>
      <w:tabs>
        <w:tab w:val="center" w:pos="4153"/>
        <w:tab w:val="right" w:pos="8306"/>
      </w:tabs>
      <w:snapToGrid w:val="0"/>
      <w:spacing w:line="240" w:lineRule="atLeast"/>
    </w:pPr>
    <w:rPr>
      <w:sz w:val="18"/>
      <w:szCs w:val="18"/>
    </w:rPr>
  </w:style>
  <w:style w:type="paragraph" w:styleId="20">
    <w:name w:val="header"/>
    <w:basedOn w:val="1"/>
    <w:link w:val="58"/>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able of figures"/>
    <w:basedOn w:val="1"/>
    <w:next w:val="1"/>
    <w:qFormat/>
    <w:uiPriority w:val="0"/>
    <w:pPr>
      <w:ind w:left="200" w:leftChars="200" w:hanging="200" w:hangingChars="200"/>
    </w:pPr>
  </w:style>
  <w:style w:type="paragraph" w:styleId="22">
    <w:name w:val="Normal (Web)"/>
    <w:basedOn w:val="1"/>
    <w:qFormat/>
    <w:uiPriority w:val="0"/>
  </w:style>
  <w:style w:type="paragraph" w:styleId="23">
    <w:name w:val="annotation subject"/>
    <w:basedOn w:val="14"/>
    <w:next w:val="14"/>
    <w:link w:val="56"/>
    <w:qFormat/>
    <w:uiPriority w:val="0"/>
    <w:rPr>
      <w:b/>
      <w:bCs/>
    </w:rPr>
  </w:style>
  <w:style w:type="paragraph" w:styleId="24">
    <w:name w:val="Body Text First Indent"/>
    <w:basedOn w:val="2"/>
    <w:next w:val="1"/>
    <w:link w:val="45"/>
    <w:qFormat/>
    <w:uiPriority w:val="0"/>
    <w:pPr>
      <w:widowControl/>
      <w:snapToGrid w:val="0"/>
      <w:spacing w:after="0" w:line="360" w:lineRule="auto"/>
      <w:jc w:val="both"/>
    </w:pPr>
    <w:rPr>
      <w:kern w:val="0"/>
    </w:rPr>
  </w:style>
  <w:style w:type="paragraph" w:styleId="25">
    <w:name w:val="Body Text First Indent 2"/>
    <w:basedOn w:val="15"/>
    <w:next w:val="24"/>
    <w:qFormat/>
    <w:uiPriority w:val="0"/>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9">
    <w:name w:val="annotation reference"/>
    <w:qFormat/>
    <w:uiPriority w:val="0"/>
    <w:rPr>
      <w:sz w:val="21"/>
      <w:szCs w:val="21"/>
    </w:rPr>
  </w:style>
  <w:style w:type="paragraph" w:customStyle="1" w:styleId="30">
    <w:name w:val="表格"/>
    <w:basedOn w:val="21"/>
    <w:next w:val="1"/>
    <w:qFormat/>
    <w:uiPriority w:val="0"/>
    <w:pPr>
      <w:spacing w:line="240" w:lineRule="auto"/>
      <w:ind w:left="0" w:leftChars="0" w:firstLine="0" w:firstLineChars="0"/>
    </w:pPr>
    <w:rPr>
      <w:sz w:val="21"/>
    </w:rPr>
  </w:style>
  <w:style w:type="character" w:customStyle="1" w:styleId="31">
    <w:name w:val="标题 1 Char"/>
    <w:qFormat/>
    <w:uiPriority w:val="0"/>
    <w:rPr>
      <w:rFonts w:ascii="宋体" w:hAnsi="宋体" w:eastAsia="仿宋" w:cs="Times New Roman"/>
      <w:b/>
      <w:kern w:val="44"/>
      <w:sz w:val="32"/>
    </w:rPr>
  </w:style>
  <w:style w:type="paragraph" w:customStyle="1" w:styleId="32">
    <w:name w:val="表格文字"/>
    <w:qFormat/>
    <w:uiPriority w:val="0"/>
    <w:pPr>
      <w:adjustRightInd w:val="0"/>
      <w:snapToGrid w:val="0"/>
      <w:jc w:val="center"/>
    </w:pPr>
    <w:rPr>
      <w:rFonts w:ascii="Times New Roman" w:hAnsi="Times New Roman" w:eastAsia="仿宋" w:cs="Times New Roman"/>
      <w:sz w:val="21"/>
      <w:lang w:val="en-US" w:eastAsia="zh-CN" w:bidi="ar-SA"/>
    </w:rPr>
  </w:style>
  <w:style w:type="character" w:customStyle="1" w:styleId="33">
    <w:name w:val="标题 3 字符"/>
    <w:link w:val="5"/>
    <w:qFormat/>
    <w:uiPriority w:val="9"/>
    <w:rPr>
      <w:rFonts w:ascii="Times New Roman" w:hAnsi="Times New Roman" w:eastAsia="仿宋" w:cs="Times New Roman"/>
      <w:b/>
      <w:bCs/>
      <w:kern w:val="2"/>
      <w:sz w:val="30"/>
      <w:szCs w:val="32"/>
    </w:rPr>
  </w:style>
  <w:style w:type="character" w:customStyle="1" w:styleId="34">
    <w:name w:val="标题 2 字符"/>
    <w:link w:val="4"/>
    <w:qFormat/>
    <w:uiPriority w:val="9"/>
    <w:rPr>
      <w:rFonts w:ascii="Times New Roman" w:hAnsi="Times New Roman" w:eastAsia="仿宋"/>
      <w:b/>
      <w:bCs/>
      <w:kern w:val="2"/>
      <w:sz w:val="32"/>
      <w:szCs w:val="32"/>
    </w:rPr>
  </w:style>
  <w:style w:type="character" w:customStyle="1" w:styleId="35">
    <w:name w:val="标题 4 字符"/>
    <w:link w:val="6"/>
    <w:qFormat/>
    <w:uiPriority w:val="9"/>
    <w:rPr>
      <w:rFonts w:ascii="Times New Roman" w:hAnsi="Times New Roman" w:eastAsia="仿宋" w:cs="Times New Roman"/>
      <w:b/>
      <w:bCs/>
      <w:kern w:val="2"/>
      <w:sz w:val="28"/>
      <w:szCs w:val="28"/>
    </w:rPr>
  </w:style>
  <w:style w:type="character" w:customStyle="1" w:styleId="36">
    <w:name w:val="标题 5 字符"/>
    <w:link w:val="7"/>
    <w:qFormat/>
    <w:uiPriority w:val="9"/>
    <w:rPr>
      <w:rFonts w:ascii="Times New Roman" w:hAnsi="Times New Roman" w:eastAsia="仿宋"/>
      <w:b/>
      <w:bCs/>
      <w:kern w:val="2"/>
      <w:sz w:val="24"/>
      <w:szCs w:val="28"/>
    </w:rPr>
  </w:style>
  <w:style w:type="character" w:customStyle="1" w:styleId="37">
    <w:name w:val="批注框文本 字符"/>
    <w:basedOn w:val="28"/>
    <w:link w:val="18"/>
    <w:qFormat/>
    <w:uiPriority w:val="0"/>
    <w:rPr>
      <w:rFonts w:eastAsia="仿宋"/>
      <w:kern w:val="2"/>
      <w:sz w:val="18"/>
      <w:szCs w:val="18"/>
    </w:rPr>
  </w:style>
  <w:style w:type="paragraph" w:customStyle="1" w:styleId="3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9">
    <w:name w:val="Default"/>
    <w:basedOn w:val="1"/>
    <w:qFormat/>
    <w:uiPriority w:val="0"/>
    <w:pPr>
      <w:autoSpaceDE w:val="0"/>
      <w:autoSpaceDN w:val="0"/>
    </w:pPr>
    <w:rPr>
      <w:rFonts w:hint="eastAsia" w:ascii="宋体"/>
      <w:color w:val="000000"/>
      <w:kern w:val="0"/>
      <w:szCs w:val="24"/>
    </w:rPr>
  </w:style>
  <w:style w:type="character" w:customStyle="1" w:styleId="40">
    <w:name w:val="正文文本首行缩进 字符"/>
    <w:basedOn w:val="41"/>
    <w:qFormat/>
    <w:uiPriority w:val="0"/>
    <w:rPr>
      <w:kern w:val="2"/>
      <w:sz w:val="21"/>
    </w:rPr>
  </w:style>
  <w:style w:type="character" w:customStyle="1" w:styleId="41">
    <w:name w:val="正文文本 Char"/>
    <w:basedOn w:val="28"/>
    <w:qFormat/>
    <w:uiPriority w:val="0"/>
    <w:rPr>
      <w:kern w:val="2"/>
      <w:sz w:val="21"/>
    </w:rPr>
  </w:style>
  <w:style w:type="character" w:customStyle="1" w:styleId="42">
    <w:name w:val="标题 1 字符"/>
    <w:basedOn w:val="28"/>
    <w:link w:val="3"/>
    <w:qFormat/>
    <w:uiPriority w:val="0"/>
    <w:rPr>
      <w:rFonts w:ascii="Times New Roman" w:hAnsi="Times New Roman" w:eastAsia="仿宋"/>
      <w:b/>
      <w:kern w:val="44"/>
      <w:sz w:val="32"/>
    </w:rPr>
  </w:style>
  <w:style w:type="character" w:customStyle="1" w:styleId="43">
    <w:name w:val="题注 字符1"/>
    <w:basedOn w:val="28"/>
    <w:link w:val="12"/>
    <w:qFormat/>
    <w:uiPriority w:val="0"/>
    <w:rPr>
      <w:rFonts w:hint="eastAsia" w:ascii="黑体" w:hAnsi="宋体" w:eastAsia="黑体" w:cs="黑体"/>
      <w:sz w:val="24"/>
    </w:rPr>
  </w:style>
  <w:style w:type="character" w:customStyle="1" w:styleId="44">
    <w:name w:val="正文文本首行缩进 字符1"/>
    <w:qFormat/>
    <w:uiPriority w:val="0"/>
    <w:rPr>
      <w:rFonts w:hint="default" w:ascii="Calibri" w:hAnsi="Calibri" w:cs="Calibri"/>
      <w:kern w:val="2"/>
      <w:sz w:val="21"/>
      <w:szCs w:val="21"/>
    </w:rPr>
  </w:style>
  <w:style w:type="character" w:customStyle="1" w:styleId="45">
    <w:name w:val="正文文本首行缩进 字符2"/>
    <w:basedOn w:val="28"/>
    <w:link w:val="24"/>
    <w:qFormat/>
    <w:uiPriority w:val="0"/>
    <w:rPr>
      <w:sz w:val="24"/>
      <w:szCs w:val="21"/>
    </w:rPr>
  </w:style>
  <w:style w:type="paragraph" w:customStyle="1" w:styleId="46">
    <w:name w:val="表文排版"/>
    <w:basedOn w:val="2"/>
    <w:qFormat/>
    <w:uiPriority w:val="0"/>
    <w:pPr>
      <w:snapToGrid w:val="0"/>
      <w:spacing w:after="0"/>
      <w:jc w:val="center"/>
    </w:pPr>
    <w:rPr>
      <w:sz w:val="22"/>
      <w:szCs w:val="24"/>
    </w:rPr>
  </w:style>
  <w:style w:type="paragraph" w:customStyle="1" w:styleId="47">
    <w:name w:val="表格标题"/>
    <w:basedOn w:val="12"/>
    <w:next w:val="1"/>
    <w:qFormat/>
    <w:uiPriority w:val="0"/>
    <w:pPr>
      <w:keepNext/>
    </w:pPr>
    <w:rPr>
      <w:rFonts w:ascii="Times New Roman" w:hAnsi="Times New Roman" w:eastAsia="宋体"/>
      <w:b/>
      <w:sz w:val="21"/>
    </w:rPr>
  </w:style>
  <w:style w:type="character" w:customStyle="1" w:styleId="48">
    <w:name w:val="正文首行缩进 字符1"/>
    <w:basedOn w:val="28"/>
    <w:qFormat/>
    <w:uiPriority w:val="0"/>
    <w:rPr>
      <w:sz w:val="24"/>
      <w:szCs w:val="21"/>
    </w:rPr>
  </w:style>
  <w:style w:type="character" w:customStyle="1" w:styleId="49">
    <w:name w:val="正文文本缩进 2 字符"/>
    <w:basedOn w:val="28"/>
    <w:link w:val="17"/>
    <w:qFormat/>
    <w:uiPriority w:val="0"/>
    <w:rPr>
      <w:kern w:val="2"/>
      <w:sz w:val="21"/>
    </w:rPr>
  </w:style>
  <w:style w:type="paragraph" w:customStyle="1" w:styleId="50">
    <w:name w:val="表格内容"/>
    <w:basedOn w:val="1"/>
    <w:qFormat/>
    <w:uiPriority w:val="0"/>
    <w:pPr>
      <w:spacing w:line="240" w:lineRule="atLeast"/>
      <w:jc w:val="center"/>
    </w:pPr>
    <w:rPr>
      <w:sz w:val="21"/>
      <w:szCs w:val="24"/>
    </w:rPr>
  </w:style>
  <w:style w:type="character" w:customStyle="1" w:styleId="51">
    <w:name w:val="标准正文 Char"/>
    <w:basedOn w:val="28"/>
    <w:link w:val="52"/>
    <w:qFormat/>
    <w:uiPriority w:val="0"/>
    <w:rPr>
      <w:kern w:val="2"/>
      <w:sz w:val="24"/>
      <w:szCs w:val="24"/>
    </w:rPr>
  </w:style>
  <w:style w:type="paragraph" w:customStyle="1" w:styleId="52">
    <w:name w:val="标准正文"/>
    <w:basedOn w:val="1"/>
    <w:link w:val="51"/>
    <w:qFormat/>
    <w:uiPriority w:val="0"/>
    <w:pPr>
      <w:wordWrap w:val="0"/>
      <w:topLinePunct/>
      <w:spacing w:line="360" w:lineRule="auto"/>
      <w:ind w:firstLine="460"/>
      <w:jc w:val="both"/>
    </w:pPr>
    <w:rPr>
      <w:szCs w:val="24"/>
    </w:rPr>
  </w:style>
  <w:style w:type="paragraph" w:customStyle="1" w:styleId="53">
    <w:name w:val="表格文字1"/>
    <w:basedOn w:val="1"/>
    <w:link w:val="54"/>
    <w:qFormat/>
    <w:uiPriority w:val="0"/>
    <w:pPr>
      <w:snapToGrid w:val="0"/>
      <w:jc w:val="center"/>
    </w:pPr>
    <w:rPr>
      <w:kern w:val="0"/>
      <w:sz w:val="21"/>
    </w:rPr>
  </w:style>
  <w:style w:type="character" w:customStyle="1" w:styleId="54">
    <w:name w:val="表格文字 Char"/>
    <w:basedOn w:val="28"/>
    <w:link w:val="53"/>
    <w:qFormat/>
    <w:uiPriority w:val="0"/>
    <w:rPr>
      <w:sz w:val="21"/>
      <w:szCs w:val="21"/>
    </w:rPr>
  </w:style>
  <w:style w:type="character" w:customStyle="1" w:styleId="55">
    <w:name w:val="批注文字 字符"/>
    <w:basedOn w:val="28"/>
    <w:link w:val="14"/>
    <w:qFormat/>
    <w:uiPriority w:val="0"/>
    <w:rPr>
      <w:rFonts w:eastAsia="仿宋"/>
      <w:kern w:val="2"/>
      <w:sz w:val="28"/>
      <w:szCs w:val="21"/>
    </w:rPr>
  </w:style>
  <w:style w:type="character" w:customStyle="1" w:styleId="56">
    <w:name w:val="批注主题 字符"/>
    <w:basedOn w:val="55"/>
    <w:link w:val="23"/>
    <w:qFormat/>
    <w:uiPriority w:val="0"/>
    <w:rPr>
      <w:rFonts w:eastAsia="仿宋"/>
      <w:b/>
      <w:bCs/>
      <w:kern w:val="2"/>
      <w:sz w:val="28"/>
      <w:szCs w:val="21"/>
    </w:rPr>
  </w:style>
  <w:style w:type="paragraph" w:customStyle="1" w:styleId="57">
    <w:name w:val="修订1"/>
    <w:hidden/>
    <w:semiHidden/>
    <w:qFormat/>
    <w:uiPriority w:val="99"/>
    <w:rPr>
      <w:rFonts w:ascii="Times New Roman" w:hAnsi="Times New Roman" w:eastAsia="仿宋" w:cs="Times New Roman"/>
      <w:kern w:val="2"/>
      <w:sz w:val="28"/>
      <w:szCs w:val="21"/>
      <w:lang w:val="en-US" w:eastAsia="zh-CN" w:bidi="ar-SA"/>
    </w:rPr>
  </w:style>
  <w:style w:type="character" w:customStyle="1" w:styleId="58">
    <w:name w:val="页眉 字符"/>
    <w:basedOn w:val="28"/>
    <w:link w:val="20"/>
    <w:qFormat/>
    <w:uiPriority w:val="0"/>
    <w:rPr>
      <w:rFonts w:ascii="Times New Roman" w:hAnsi="Times New Roman" w:eastAsia="宋体" w:cs="Times New Roman"/>
      <w:kern w:val="2"/>
      <w:sz w:val="18"/>
      <w:szCs w:val="18"/>
    </w:rPr>
  </w:style>
  <w:style w:type="character" w:customStyle="1" w:styleId="59">
    <w:name w:val="页脚 字符"/>
    <w:basedOn w:val="28"/>
    <w:link w:val="19"/>
    <w:qFormat/>
    <w:uiPriority w:val="0"/>
    <w:rPr>
      <w:rFonts w:ascii="Times New Roman" w:hAnsi="Times New Roman" w:eastAsia="宋体" w:cs="Times New Roman"/>
      <w:kern w:val="2"/>
      <w:sz w:val="18"/>
      <w:szCs w:val="18"/>
    </w:rPr>
  </w:style>
  <w:style w:type="paragraph" w:customStyle="1" w:styleId="60">
    <w:name w:val="WPSOffice手动目录 1"/>
    <w:qFormat/>
    <w:uiPriority w:val="0"/>
    <w:rPr>
      <w:rFonts w:asciiTheme="minorHAnsi" w:hAnsiTheme="minorHAnsi" w:eastAsiaTheme="minorEastAsia" w:cstheme="minorBidi"/>
      <w:lang w:val="en-US" w:eastAsia="zh-CN" w:bidi="ar-SA"/>
    </w:rPr>
  </w:style>
  <w:style w:type="character" w:customStyle="1" w:styleId="61">
    <w:name w:val="文档结构图 字符"/>
    <w:basedOn w:val="28"/>
    <w:link w:val="13"/>
    <w:qFormat/>
    <w:uiPriority w:val="0"/>
    <w:rPr>
      <w:rFonts w:ascii="宋体" w:hAnsi="Times New Roman" w:eastAsia="宋体" w:cs="Times New Roman"/>
      <w:kern w:val="2"/>
      <w:sz w:val="18"/>
      <w:szCs w:val="18"/>
    </w:rPr>
  </w:style>
  <w:style w:type="character" w:customStyle="1" w:styleId="62">
    <w:name w:val="正文首行缩进 字符"/>
    <w:basedOn w:val="28"/>
    <w:qFormat/>
    <w:uiPriority w:val="0"/>
    <w:rPr>
      <w:sz w:val="24"/>
      <w:szCs w:val="21"/>
    </w:rPr>
  </w:style>
  <w:style w:type="character" w:customStyle="1" w:styleId="63">
    <w:name w:val="题注 字符"/>
    <w:basedOn w:val="28"/>
    <w:qFormat/>
    <w:uiPriority w:val="0"/>
    <w:rPr>
      <w:rFonts w:hint="eastAsia" w:ascii="黑体" w:hAnsi="宋体" w:eastAsia="黑体" w:cs="黑体"/>
      <w:sz w:val="24"/>
    </w:rPr>
  </w:style>
  <w:style w:type="character" w:customStyle="1" w:styleId="64">
    <w:name w:val="正文文本 字符"/>
    <w:basedOn w:val="28"/>
    <w:link w:val="2"/>
    <w:qFormat/>
    <w:uiPriority w:val="0"/>
    <w:rPr>
      <w:rFonts w:hint="default" w:ascii="Calibri" w:hAnsi="Calibri" w:cs="Calibri"/>
      <w:kern w:val="2"/>
      <w:sz w:val="21"/>
      <w:szCs w:val="21"/>
    </w:rPr>
  </w:style>
  <w:style w:type="paragraph" w:customStyle="1" w:styleId="65">
    <w:name w:val="文本正文"/>
    <w:basedOn w:val="1"/>
    <w:qFormat/>
    <w:uiPriority w:val="0"/>
    <w:pPr>
      <w:spacing w:line="360" w:lineRule="auto"/>
      <w:ind w:firstLine="48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3OTk3NTEyODYwMSIsCiAgICJHcm91cElkIiA6ICI1Nzc4NDA2NDUiLAogICAiSW1hZ2UiIDogImlWQk9SdzBLR2dvQUFBQU5TVWhFVWdBQUF6a0FBQUh1Q0FZQUFBQzh0c0tuQUFBQUNYQklXWE1BQUFzVEFBQUxFd0VBbXB3WUFBQWdBRWxFUVZSNG5PemRlMWhjNWIzLy9jOGFodk9FekJBRDVFeEltc1FRU0dhUVdHUFZlR3pUYmRVYVV3K3gxUjdVYUxlMWwxcXJkcmUyMnZiWlBlM2EvYk5XMDRPUE5tcXJWYmRicXo1cS9CRTFyU2VnQm9qR2dKQklsRUFTd3ZrNGN6OS9oQ0VEQVFJRW1HSE4rM1ZkdVZ6M1d2ZXMrUTUrMTFyelhZZDd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5NFA4QkYwWWp4REJ1aXdJQUFBQUFTVVZPUks1Q1lJST0iLAogICAiVHlwZSIgOiAiZmxvdyIsCiAgICJWZXJzaW9uIiA6ICIzNy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9CFE80-EA44-4DCB-A36F-492E3A895D10}">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Pages>
  <Words>5783</Words>
  <Characters>32966</Characters>
  <Lines>274</Lines>
  <Paragraphs>77</Paragraphs>
  <TotalTime>19</TotalTime>
  <ScaleCrop>false</ScaleCrop>
  <LinksUpToDate>false</LinksUpToDate>
  <CharactersWithSpaces>38672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2020-12-24T04:15:00Z</dcterms:created>
  <dc:creator>ZZY          ༽</dc:creator>
  <cp:lastModifiedBy>ZZY          ༽</cp:lastModifiedBy>
  <dcterms:modified xsi:type="dcterms:W3CDTF">2020-12-24T08:37:57Z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